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DB6F3" w14:textId="77777777" w:rsidR="00EF7548" w:rsidRPr="001F310D" w:rsidRDefault="00EF7548" w:rsidP="009A48E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00" w:beforeAutospacing="1" w:after="100" w:afterAutospacing="1"/>
        <w:contextualSpacing/>
        <w:jc w:val="both"/>
        <w:rPr>
          <w:rFonts w:ascii="Barlow" w:hAnsi="Barlow"/>
          <w:b/>
          <w:bCs/>
          <w:lang w:val="it-IT"/>
        </w:rPr>
      </w:pPr>
    </w:p>
    <w:p w14:paraId="2967F8B1" w14:textId="23F33083" w:rsidR="00222EF6" w:rsidRPr="001F310D" w:rsidRDefault="00222EF6" w:rsidP="009A48E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00" w:beforeAutospacing="1" w:after="100" w:afterAutospacing="1"/>
        <w:contextualSpacing/>
        <w:jc w:val="both"/>
        <w:rPr>
          <w:rFonts w:ascii="Barlow" w:hAnsi="Barlow"/>
          <w:b/>
          <w:bCs/>
          <w:sz w:val="20"/>
          <w:szCs w:val="20"/>
          <w:lang w:val="it-IT"/>
        </w:rPr>
      </w:pPr>
      <w:r w:rsidRPr="001F310D">
        <w:rPr>
          <w:rFonts w:ascii="Barlow" w:hAnsi="Barlow"/>
          <w:b/>
          <w:bCs/>
          <w:sz w:val="20"/>
          <w:szCs w:val="20"/>
          <w:lang w:val="it-IT"/>
        </w:rPr>
        <w:t xml:space="preserve">Comunicato stampa | </w:t>
      </w:r>
      <w:proofErr w:type="gramStart"/>
      <w:r w:rsidR="00DC4ECB">
        <w:rPr>
          <w:rFonts w:ascii="Barlow" w:hAnsi="Barlow"/>
          <w:b/>
          <w:bCs/>
          <w:sz w:val="20"/>
          <w:szCs w:val="20"/>
          <w:lang w:val="it-IT"/>
        </w:rPr>
        <w:t>Settembre</w:t>
      </w:r>
      <w:proofErr w:type="gramEnd"/>
      <w:r w:rsidR="00DC4ECB">
        <w:rPr>
          <w:rFonts w:ascii="Barlow" w:hAnsi="Barlow"/>
          <w:b/>
          <w:bCs/>
          <w:sz w:val="20"/>
          <w:szCs w:val="20"/>
          <w:lang w:val="it-IT"/>
        </w:rPr>
        <w:t xml:space="preserve"> 2026</w:t>
      </w:r>
    </w:p>
    <w:p w14:paraId="75714BA3" w14:textId="77777777" w:rsidR="002133E4" w:rsidRPr="001F310D" w:rsidRDefault="002133E4" w:rsidP="00255F1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00" w:beforeAutospacing="1" w:after="100" w:afterAutospacing="1"/>
        <w:contextualSpacing/>
        <w:jc w:val="both"/>
        <w:rPr>
          <w:rFonts w:ascii="Barlow" w:hAnsi="Barlow"/>
          <w:b/>
          <w:bCs/>
          <w:sz w:val="20"/>
          <w:szCs w:val="20"/>
          <w:lang w:val="it-IT"/>
        </w:rPr>
      </w:pPr>
    </w:p>
    <w:p w14:paraId="0D9151F6" w14:textId="77777777" w:rsidR="00DC4ECB" w:rsidRPr="00DC4ECB" w:rsidRDefault="00DC4ECB" w:rsidP="00DC4ECB">
      <w:pPr>
        <w:spacing w:before="100" w:beforeAutospacing="1" w:after="100" w:afterAutospacing="1"/>
        <w:contextualSpacing/>
        <w:jc w:val="both"/>
        <w:rPr>
          <w:rFonts w:ascii="Barlow" w:eastAsia="Times New Roman" w:hAnsi="Barlow" w:cs="Arial"/>
          <w:b/>
          <w:bCs/>
          <w:color w:val="1F1F1F"/>
          <w:sz w:val="28"/>
          <w:szCs w:val="28"/>
          <w:bdr w:val="none" w:sz="0" w:space="0" w:color="auto" w:frame="1"/>
          <w:lang w:eastAsia="it-IT"/>
        </w:rPr>
      </w:pPr>
      <w:r w:rsidRPr="00DC4ECB">
        <w:rPr>
          <w:rFonts w:ascii="Barlow" w:eastAsia="Times New Roman" w:hAnsi="Barlow" w:cs="Arial"/>
          <w:b/>
          <w:bCs/>
          <w:color w:val="1F1F1F"/>
          <w:sz w:val="28"/>
          <w:szCs w:val="28"/>
          <w:bdr w:val="none" w:sz="0" w:space="0" w:color="auto" w:frame="1"/>
          <w:lang w:eastAsia="it-IT"/>
        </w:rPr>
        <w:t xml:space="preserve">ALTA FORMAZIONE A CERSAIE 2026: </w:t>
      </w:r>
    </w:p>
    <w:p w14:paraId="1B020B8F"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sz w:val="28"/>
          <w:szCs w:val="28"/>
          <w:lang w:eastAsia="it-IT"/>
        </w:rPr>
      </w:pPr>
      <w:r w:rsidRPr="00DC4ECB">
        <w:rPr>
          <w:rFonts w:ascii="Barlow" w:eastAsia="Times New Roman" w:hAnsi="Barlow" w:cs="Arial"/>
          <w:b/>
          <w:bCs/>
          <w:color w:val="1F1F1F"/>
          <w:sz w:val="28"/>
          <w:szCs w:val="28"/>
          <w:bdr w:val="none" w:sz="0" w:space="0" w:color="auto" w:frame="1"/>
          <w:lang w:eastAsia="it-IT"/>
        </w:rPr>
        <w:t>UN GRANDE SUCCESSO FIRMATO DA L’ACCADEMIA DELLO SHOWROOM</w:t>
      </w:r>
    </w:p>
    <w:p w14:paraId="3882217A"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lang w:eastAsia="it-IT"/>
        </w:rPr>
      </w:pPr>
    </w:p>
    <w:p w14:paraId="734B0575" w14:textId="77777777" w:rsidR="00DC4ECB" w:rsidRPr="00DC4ECB" w:rsidRDefault="00DC4ECB" w:rsidP="00DC4ECB">
      <w:pPr>
        <w:spacing w:before="100" w:beforeAutospacing="1" w:after="100" w:afterAutospacing="1"/>
        <w:contextualSpacing/>
        <w:jc w:val="both"/>
        <w:rPr>
          <w:rFonts w:ascii="Barlow" w:eastAsia="Times New Roman" w:hAnsi="Barlow" w:cs="Arial"/>
          <w:b/>
          <w:bCs/>
          <w:color w:val="1F1F1F"/>
          <w:bdr w:val="none" w:sz="0" w:space="0" w:color="auto" w:frame="1"/>
          <w:lang w:val="it-IT" w:eastAsia="it-IT"/>
        </w:rPr>
      </w:pPr>
      <w:r w:rsidRPr="00DC4ECB">
        <w:rPr>
          <w:rFonts w:ascii="Barlow" w:eastAsia="Times New Roman" w:hAnsi="Barlow" w:cs="Arial"/>
          <w:color w:val="1F1F1F"/>
          <w:bdr w:val="none" w:sz="0" w:space="0" w:color="auto" w:frame="1"/>
          <w:lang w:val="it-IT" w:eastAsia="it-IT"/>
        </w:rPr>
        <w:t xml:space="preserve">In occasione dell’edizione 2026 di </w:t>
      </w:r>
      <w:r w:rsidRPr="00DC4ECB">
        <w:rPr>
          <w:rFonts w:ascii="Barlow" w:eastAsia="Times New Roman" w:hAnsi="Barlow" w:cs="Arial"/>
          <w:b/>
          <w:bCs/>
          <w:color w:val="1F1F1F"/>
          <w:bdr w:val="none" w:sz="0" w:space="0" w:color="auto" w:frame="1"/>
          <w:lang w:val="it-IT" w:eastAsia="it-IT"/>
        </w:rPr>
        <w:t>Cersaie</w:t>
      </w:r>
      <w:r w:rsidRPr="00DC4ECB">
        <w:rPr>
          <w:rFonts w:ascii="Barlow" w:eastAsia="Times New Roman" w:hAnsi="Barlow" w:cs="Arial"/>
          <w:color w:val="1F1F1F"/>
          <w:bdr w:val="none" w:sz="0" w:space="0" w:color="auto" w:frame="1"/>
          <w:lang w:val="it-IT" w:eastAsia="it-IT"/>
        </w:rPr>
        <w:t xml:space="preserve"> si è svolta al padiglione 31 l’iniziativa di Alta Formazione per gli addetti alle vendite in showroom, sviluppata da </w:t>
      </w:r>
      <w:r w:rsidRPr="00DC4ECB">
        <w:rPr>
          <w:rFonts w:ascii="Barlow" w:eastAsia="Times New Roman" w:hAnsi="Barlow" w:cs="Arial"/>
          <w:b/>
          <w:bCs/>
          <w:color w:val="1F1F1F"/>
          <w:bdr w:val="none" w:sz="0" w:space="0" w:color="auto" w:frame="1"/>
          <w:lang w:val="it-IT" w:eastAsia="it-IT"/>
        </w:rPr>
        <w:t>L’Accademia dello Showroom</w:t>
      </w:r>
      <w:r w:rsidRPr="00DC4ECB">
        <w:rPr>
          <w:rFonts w:ascii="Barlow" w:eastAsia="Times New Roman" w:hAnsi="Barlow" w:cs="Arial"/>
          <w:color w:val="1F1F1F"/>
          <w:bdr w:val="none" w:sz="0" w:space="0" w:color="auto" w:frame="1"/>
          <w:lang w:val="it-IT" w:eastAsia="it-IT"/>
        </w:rPr>
        <w:t xml:space="preserve"> su incarico di </w:t>
      </w:r>
      <w:r w:rsidRPr="00DC4ECB">
        <w:rPr>
          <w:rFonts w:ascii="Barlow" w:eastAsia="Times New Roman" w:hAnsi="Barlow" w:cs="Arial"/>
          <w:b/>
          <w:bCs/>
          <w:color w:val="1F1F1F"/>
          <w:bdr w:val="none" w:sz="0" w:space="0" w:color="auto" w:frame="1"/>
          <w:lang w:val="it-IT" w:eastAsia="it-IT"/>
        </w:rPr>
        <w:t>Edi.Cer.</w:t>
      </w:r>
      <w:r w:rsidRPr="00DC4ECB">
        <w:rPr>
          <w:rFonts w:ascii="Barlow" w:eastAsia="Times New Roman" w:hAnsi="Barlow" w:cs="Arial"/>
          <w:color w:val="1F1F1F"/>
          <w:bdr w:val="none" w:sz="0" w:space="0" w:color="auto" w:frame="1"/>
          <w:lang w:val="it-IT" w:eastAsia="it-IT"/>
        </w:rPr>
        <w:t xml:space="preserve"> e con il patrocinio di </w:t>
      </w:r>
      <w:r w:rsidRPr="00DC4ECB">
        <w:rPr>
          <w:rFonts w:ascii="Barlow" w:eastAsia="Times New Roman" w:hAnsi="Barlow" w:cs="Arial"/>
          <w:b/>
          <w:bCs/>
          <w:color w:val="1F1F1F"/>
          <w:bdr w:val="none" w:sz="0" w:space="0" w:color="auto" w:frame="1"/>
          <w:lang w:val="it-IT" w:eastAsia="it-IT"/>
        </w:rPr>
        <w:t>Confindustria Ceramica</w:t>
      </w:r>
      <w:r w:rsidRPr="00DC4ECB">
        <w:rPr>
          <w:rFonts w:ascii="Barlow" w:eastAsia="Times New Roman" w:hAnsi="Barlow" w:cs="Arial"/>
          <w:color w:val="1F1F1F"/>
          <w:bdr w:val="none" w:sz="0" w:space="0" w:color="auto" w:frame="1"/>
          <w:lang w:val="it-IT" w:eastAsia="it-IT"/>
        </w:rPr>
        <w:t xml:space="preserve">, </w:t>
      </w:r>
      <w:r w:rsidRPr="00DC4ECB">
        <w:rPr>
          <w:rFonts w:ascii="Barlow" w:eastAsia="Times New Roman" w:hAnsi="Barlow" w:cs="Arial"/>
          <w:b/>
          <w:bCs/>
          <w:color w:val="1F1F1F"/>
          <w:bdr w:val="none" w:sz="0" w:space="0" w:color="auto" w:frame="1"/>
          <w:lang w:val="it-IT" w:eastAsia="it-IT"/>
        </w:rPr>
        <w:t>ANGAISA</w:t>
      </w:r>
      <w:r w:rsidRPr="00DC4ECB">
        <w:rPr>
          <w:rFonts w:ascii="Barlow" w:eastAsia="Times New Roman" w:hAnsi="Barlow" w:cs="Arial"/>
          <w:color w:val="1F1F1F"/>
          <w:bdr w:val="none" w:sz="0" w:space="0" w:color="auto" w:frame="1"/>
          <w:lang w:val="it-IT" w:eastAsia="it-IT"/>
        </w:rPr>
        <w:t xml:space="preserve">, </w:t>
      </w:r>
      <w:proofErr w:type="spellStart"/>
      <w:r w:rsidRPr="00DC4ECB">
        <w:rPr>
          <w:rFonts w:ascii="Barlow" w:eastAsia="Times New Roman" w:hAnsi="Barlow" w:cs="Arial"/>
          <w:b/>
          <w:bCs/>
          <w:color w:val="1F1F1F"/>
          <w:bdr w:val="none" w:sz="0" w:space="0" w:color="auto" w:frame="1"/>
          <w:lang w:val="it-IT" w:eastAsia="it-IT"/>
        </w:rPr>
        <w:t>Sercomated</w:t>
      </w:r>
      <w:proofErr w:type="spellEnd"/>
      <w:r w:rsidRPr="00DC4ECB">
        <w:rPr>
          <w:rFonts w:ascii="Barlow" w:eastAsia="Times New Roman" w:hAnsi="Barlow" w:cs="Arial"/>
          <w:color w:val="1F1F1F"/>
          <w:bdr w:val="none" w:sz="0" w:space="0" w:color="auto" w:frame="1"/>
          <w:lang w:val="it-IT" w:eastAsia="it-IT"/>
        </w:rPr>
        <w:t xml:space="preserve"> e </w:t>
      </w:r>
      <w:proofErr w:type="spellStart"/>
      <w:r w:rsidRPr="00DC4ECB">
        <w:rPr>
          <w:rFonts w:ascii="Barlow" w:eastAsia="Times New Roman" w:hAnsi="Barlow" w:cs="Arial"/>
          <w:b/>
          <w:bCs/>
          <w:color w:val="1F1F1F"/>
          <w:bdr w:val="none" w:sz="0" w:space="0" w:color="auto" w:frame="1"/>
          <w:lang w:val="it-IT" w:eastAsia="it-IT"/>
        </w:rPr>
        <w:t>Assoposa</w:t>
      </w:r>
      <w:proofErr w:type="spellEnd"/>
      <w:r w:rsidRPr="00DC4ECB">
        <w:rPr>
          <w:rFonts w:ascii="Barlow" w:eastAsia="Times New Roman" w:hAnsi="Barlow" w:cs="Arial"/>
          <w:b/>
          <w:bCs/>
          <w:color w:val="1F1F1F"/>
          <w:bdr w:val="none" w:sz="0" w:space="0" w:color="auto" w:frame="1"/>
          <w:lang w:val="it-IT" w:eastAsia="it-IT"/>
        </w:rPr>
        <w:t>.</w:t>
      </w:r>
    </w:p>
    <w:p w14:paraId="201D45ED" w14:textId="77777777" w:rsidR="00DC4ECB" w:rsidRPr="00DC4ECB" w:rsidRDefault="00DC4ECB" w:rsidP="00DC4ECB">
      <w:pPr>
        <w:spacing w:before="100" w:beforeAutospacing="1" w:after="100" w:afterAutospacing="1"/>
        <w:contextualSpacing/>
        <w:jc w:val="both"/>
        <w:rPr>
          <w:rFonts w:ascii="Barlow" w:eastAsia="Times New Roman" w:hAnsi="Barlow" w:cs="Arial"/>
          <w:b/>
          <w:bCs/>
          <w:color w:val="1F1F1F"/>
          <w:bdr w:val="none" w:sz="0" w:space="0" w:color="auto" w:frame="1"/>
          <w:lang w:val="it-IT" w:eastAsia="it-IT"/>
        </w:rPr>
      </w:pPr>
    </w:p>
    <w:p w14:paraId="1E1068A5"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r w:rsidRPr="00DC4ECB">
        <w:rPr>
          <w:rFonts w:ascii="Barlow" w:eastAsia="Times New Roman" w:hAnsi="Barlow" w:cs="Arial"/>
          <w:color w:val="1F1F1F"/>
          <w:bdr w:val="none" w:sz="0" w:space="0" w:color="auto" w:frame="1"/>
          <w:lang w:val="it-IT" w:eastAsia="it-IT"/>
        </w:rPr>
        <w:t>Il ciclo di incontri ha registrato uno straordinario consenso da parte del settore, superando i 500 iscritti complessivi nel corso dei cinque giorni della manifestazione (dal 21 al 25 settembre) e, oltre a confermare come l’evoluzione del settore richieda strumenti di consulenza tecnica e progettuale sempre più solidi e integrati, ha anche fornito ai consulenti di sala mostra, attraverso un impianto didattico rigoroso e pragmatico, gli asset metodologici necessari per ottimizzare il tasso di conversione dei preventivi in ordini effettivi.</w:t>
      </w:r>
    </w:p>
    <w:p w14:paraId="768B49B8"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p>
    <w:p w14:paraId="5898187F"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r w:rsidRPr="00DC4ECB">
        <w:rPr>
          <w:rFonts w:ascii="Barlow" w:eastAsia="Times New Roman" w:hAnsi="Barlow" w:cs="Arial"/>
          <w:color w:val="1F1F1F"/>
          <w:bdr w:val="none" w:sz="0" w:space="0" w:color="auto" w:frame="1"/>
          <w:lang w:val="it-IT" w:eastAsia="it-IT"/>
        </w:rPr>
        <w:t xml:space="preserve">Un cambio di paradigma che, attraverso il metodo scientifico sviluppato da </w:t>
      </w:r>
      <w:r w:rsidRPr="00DC4ECB">
        <w:rPr>
          <w:rFonts w:ascii="Barlow" w:eastAsia="Times New Roman" w:hAnsi="Barlow" w:cs="Arial"/>
          <w:b/>
          <w:bCs/>
          <w:color w:val="1F1F1F"/>
          <w:bdr w:val="none" w:sz="0" w:space="0" w:color="auto" w:frame="1"/>
          <w:lang w:val="it-IT" w:eastAsia="it-IT"/>
        </w:rPr>
        <w:t>L’Accademia dello Showroom</w:t>
      </w:r>
      <w:r w:rsidRPr="00DC4ECB">
        <w:rPr>
          <w:rFonts w:ascii="Barlow" w:eastAsia="Times New Roman" w:hAnsi="Barlow" w:cs="Arial"/>
          <w:color w:val="1F1F1F"/>
          <w:bdr w:val="none" w:sz="0" w:space="0" w:color="auto" w:frame="1"/>
          <w:lang w:val="it-IT" w:eastAsia="it-IT"/>
        </w:rPr>
        <w:t>, trasforma il “normale” approccio alla vendita in un processo strutturato di ascolto, di indagine e di confronto che, oltre a qualificare la percezione di affidabilità della distribuzione presso la committenza, consente agli operatori di proporre soluzioni di arredo ad alto valore percepito, incrementando in modo misurabile la redditività del punto vendita.</w:t>
      </w:r>
    </w:p>
    <w:p w14:paraId="5DF09554"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p>
    <w:p w14:paraId="719DA582"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r w:rsidRPr="00DC4ECB">
        <w:rPr>
          <w:rFonts w:ascii="Barlow" w:eastAsia="Times New Roman" w:hAnsi="Barlow" w:cs="Arial"/>
          <w:color w:val="1F1F1F"/>
          <w:bdr w:val="none" w:sz="0" w:space="0" w:color="auto" w:frame="1"/>
          <w:lang w:val="it-IT" w:eastAsia="it-IT"/>
        </w:rPr>
        <w:t xml:space="preserve">L’unanimità dei consensi espressa dalle principali sigle del comparto, da </w:t>
      </w:r>
      <w:r w:rsidRPr="00DC4ECB">
        <w:rPr>
          <w:rFonts w:ascii="Barlow" w:eastAsia="Times New Roman" w:hAnsi="Barlow" w:cs="Arial"/>
          <w:b/>
          <w:bCs/>
          <w:color w:val="1F1F1F"/>
          <w:bdr w:val="none" w:sz="0" w:space="0" w:color="auto" w:frame="1"/>
          <w:lang w:val="it-IT" w:eastAsia="it-IT"/>
        </w:rPr>
        <w:t>Confindustria</w:t>
      </w:r>
      <w:r w:rsidRPr="00DC4ECB">
        <w:rPr>
          <w:rFonts w:ascii="Barlow" w:eastAsia="Times New Roman" w:hAnsi="Barlow" w:cs="Arial"/>
          <w:color w:val="1F1F1F"/>
          <w:bdr w:val="none" w:sz="0" w:space="0" w:color="auto" w:frame="1"/>
          <w:lang w:val="it-IT" w:eastAsia="it-IT"/>
        </w:rPr>
        <w:t xml:space="preserve"> </w:t>
      </w:r>
      <w:r w:rsidRPr="00DC4ECB">
        <w:rPr>
          <w:rFonts w:ascii="Barlow" w:eastAsia="Times New Roman" w:hAnsi="Barlow" w:cs="Arial"/>
          <w:b/>
          <w:bCs/>
          <w:color w:val="1F1F1F"/>
          <w:bdr w:val="none" w:sz="0" w:space="0" w:color="auto" w:frame="1"/>
          <w:lang w:val="it-IT" w:eastAsia="it-IT"/>
        </w:rPr>
        <w:t>Ceramica</w:t>
      </w:r>
      <w:r w:rsidRPr="00DC4ECB">
        <w:rPr>
          <w:rFonts w:ascii="Barlow" w:eastAsia="Times New Roman" w:hAnsi="Barlow" w:cs="Arial"/>
          <w:color w:val="1F1F1F"/>
          <w:bdr w:val="none" w:sz="0" w:space="0" w:color="auto" w:frame="1"/>
          <w:lang w:val="it-IT" w:eastAsia="it-IT"/>
        </w:rPr>
        <w:t xml:space="preserve"> a </w:t>
      </w:r>
      <w:proofErr w:type="spellStart"/>
      <w:r w:rsidRPr="00DC4ECB">
        <w:rPr>
          <w:rFonts w:ascii="Barlow" w:eastAsia="Times New Roman" w:hAnsi="Barlow" w:cs="Arial"/>
          <w:b/>
          <w:bCs/>
          <w:color w:val="1F1F1F"/>
          <w:bdr w:val="none" w:sz="0" w:space="0" w:color="auto" w:frame="1"/>
          <w:lang w:val="it-IT" w:eastAsia="it-IT"/>
        </w:rPr>
        <w:t>Sercomated</w:t>
      </w:r>
      <w:proofErr w:type="spellEnd"/>
      <w:r w:rsidRPr="00DC4ECB">
        <w:rPr>
          <w:rFonts w:ascii="Barlow" w:eastAsia="Times New Roman" w:hAnsi="Barlow" w:cs="Arial"/>
          <w:color w:val="1F1F1F"/>
          <w:bdr w:val="none" w:sz="0" w:space="0" w:color="auto" w:frame="1"/>
          <w:lang w:val="it-IT" w:eastAsia="it-IT"/>
        </w:rPr>
        <w:t xml:space="preserve">, da </w:t>
      </w:r>
      <w:r w:rsidRPr="00DC4ECB">
        <w:rPr>
          <w:rFonts w:ascii="Barlow" w:eastAsia="Times New Roman" w:hAnsi="Barlow" w:cs="Arial"/>
          <w:b/>
          <w:bCs/>
          <w:color w:val="1F1F1F"/>
          <w:bdr w:val="none" w:sz="0" w:space="0" w:color="auto" w:frame="1"/>
          <w:lang w:val="it-IT" w:eastAsia="it-IT"/>
        </w:rPr>
        <w:t xml:space="preserve">ANGAISA </w:t>
      </w:r>
      <w:r w:rsidRPr="00DC4ECB">
        <w:rPr>
          <w:rFonts w:ascii="Barlow" w:eastAsia="Times New Roman" w:hAnsi="Barlow" w:cs="Arial"/>
          <w:color w:val="1F1F1F"/>
          <w:bdr w:val="none" w:sz="0" w:space="0" w:color="auto" w:frame="1"/>
          <w:lang w:val="it-IT" w:eastAsia="it-IT"/>
        </w:rPr>
        <w:t>ad</w:t>
      </w:r>
      <w:r w:rsidRPr="00DC4ECB">
        <w:rPr>
          <w:rFonts w:ascii="Barlow" w:eastAsia="Times New Roman" w:hAnsi="Barlow" w:cs="Arial"/>
          <w:b/>
          <w:bCs/>
          <w:color w:val="1F1F1F"/>
          <w:bdr w:val="none" w:sz="0" w:space="0" w:color="auto" w:frame="1"/>
          <w:lang w:val="it-IT" w:eastAsia="it-IT"/>
        </w:rPr>
        <w:t xml:space="preserve"> </w:t>
      </w:r>
      <w:proofErr w:type="spellStart"/>
      <w:r w:rsidRPr="00DC4ECB">
        <w:rPr>
          <w:rFonts w:ascii="Barlow" w:eastAsia="Times New Roman" w:hAnsi="Barlow" w:cs="Arial"/>
          <w:b/>
          <w:bCs/>
          <w:color w:val="1F1F1F"/>
          <w:bdr w:val="none" w:sz="0" w:space="0" w:color="auto" w:frame="1"/>
          <w:lang w:val="it-IT" w:eastAsia="it-IT"/>
        </w:rPr>
        <w:t>Assoposa</w:t>
      </w:r>
      <w:proofErr w:type="spellEnd"/>
      <w:r w:rsidRPr="00DC4ECB">
        <w:rPr>
          <w:rFonts w:ascii="Barlow" w:eastAsia="Times New Roman" w:hAnsi="Barlow" w:cs="Arial"/>
          <w:color w:val="1F1F1F"/>
          <w:bdr w:val="none" w:sz="0" w:space="0" w:color="auto" w:frame="1"/>
          <w:lang w:val="it-IT" w:eastAsia="it-IT"/>
        </w:rPr>
        <w:t xml:space="preserve">, conferma il valore strategico dell'iniziativa per l'intera filiera delle superfici e dell'arredobagno e ribadisce la centralità strategica de </w:t>
      </w:r>
      <w:r w:rsidRPr="00DC4ECB">
        <w:rPr>
          <w:rFonts w:ascii="Barlow" w:eastAsia="Times New Roman" w:hAnsi="Barlow" w:cs="Arial"/>
          <w:b/>
          <w:bCs/>
          <w:color w:val="1F1F1F"/>
          <w:bdr w:val="none" w:sz="0" w:space="0" w:color="auto" w:frame="1"/>
          <w:lang w:val="it-IT" w:eastAsia="it-IT"/>
        </w:rPr>
        <w:t>L’Accademia dello Showroom</w:t>
      </w:r>
      <w:r w:rsidRPr="00DC4ECB">
        <w:rPr>
          <w:rFonts w:ascii="Barlow" w:eastAsia="Times New Roman" w:hAnsi="Barlow" w:cs="Arial"/>
          <w:color w:val="1F1F1F"/>
          <w:bdr w:val="none" w:sz="0" w:space="0" w:color="auto" w:frame="1"/>
          <w:lang w:val="it-IT" w:eastAsia="it-IT"/>
        </w:rPr>
        <w:t xml:space="preserve"> quale punto di riferimento formativo e culturale per l’intero comparto. </w:t>
      </w:r>
    </w:p>
    <w:p w14:paraId="47E35EF1"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p>
    <w:p w14:paraId="78BE20FC"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lang w:val="it-IT" w:eastAsia="it-IT"/>
        </w:rPr>
      </w:pPr>
      <w:r w:rsidRPr="00DC4ECB">
        <w:rPr>
          <w:rFonts w:ascii="Barlow" w:eastAsia="Times New Roman" w:hAnsi="Barlow" w:cs="Arial"/>
          <w:color w:val="1F1F1F"/>
          <w:bdr w:val="none" w:sz="0" w:space="0" w:color="auto" w:frame="1"/>
          <w:lang w:val="it-IT" w:eastAsia="it-IT"/>
        </w:rPr>
        <w:t>La sinergia tra la conoscenza delle materie prime, la cultura della posa e l’analisi dell’esperienza d’acquisto in showroom dimostra come la tutela dell'eccellenza industriale dipenda direttamente dalla preparazione specialistica di chi si interfaccia quotidianamente con architetti, interior designer e committenti finale.</w:t>
      </w:r>
      <w:r w:rsidRPr="00DC4ECB">
        <w:rPr>
          <w:rFonts w:ascii="Barlow" w:eastAsia="Times New Roman" w:hAnsi="Barlow" w:cs="Arial"/>
          <w:color w:val="1F1F1F"/>
          <w:lang w:val="it-IT" w:eastAsia="it-IT"/>
        </w:rPr>
        <w:t xml:space="preserve"> </w:t>
      </w:r>
    </w:p>
    <w:p w14:paraId="310450CB"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lang w:val="it-IT" w:eastAsia="it-IT"/>
        </w:rPr>
      </w:pPr>
    </w:p>
    <w:p w14:paraId="0D9C4F25"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r w:rsidRPr="00DC4ECB">
        <w:rPr>
          <w:rFonts w:ascii="Barlow" w:eastAsia="Times New Roman" w:hAnsi="Barlow" w:cs="Arial"/>
          <w:color w:val="1F1F1F"/>
          <w:bdr w:val="none" w:sz="0" w:space="0" w:color="auto" w:frame="1"/>
          <w:lang w:val="it-IT" w:eastAsia="it-IT"/>
        </w:rPr>
        <w:t xml:space="preserve">“Il riscontro ottenuto a Cersaie testimonia una consapevolezza ormai matura all’interno della filiera”, sottolinea </w:t>
      </w:r>
      <w:r w:rsidRPr="00DC4ECB">
        <w:rPr>
          <w:rFonts w:ascii="Barlow" w:eastAsia="Times New Roman" w:hAnsi="Barlow" w:cs="Arial"/>
          <w:b/>
          <w:bCs/>
          <w:color w:val="1F1F1F"/>
          <w:bdr w:val="none" w:sz="0" w:space="0" w:color="auto" w:frame="1"/>
          <w:lang w:val="it-IT" w:eastAsia="it-IT"/>
        </w:rPr>
        <w:t>Veronica Verona</w:t>
      </w:r>
      <w:r w:rsidRPr="00DC4ECB">
        <w:rPr>
          <w:rFonts w:ascii="Barlow" w:eastAsia="Times New Roman" w:hAnsi="Barlow" w:cs="Arial"/>
          <w:color w:val="1F1F1F"/>
          <w:bdr w:val="none" w:sz="0" w:space="0" w:color="auto" w:frame="1"/>
          <w:lang w:val="it-IT" w:eastAsia="it-IT"/>
        </w:rPr>
        <w:t xml:space="preserve"> – </w:t>
      </w:r>
      <w:r w:rsidRPr="00DC4ECB">
        <w:rPr>
          <w:rFonts w:ascii="Barlow" w:eastAsia="Times New Roman" w:hAnsi="Barlow" w:cs="Arial"/>
          <w:b/>
          <w:bCs/>
          <w:color w:val="1F1F1F"/>
          <w:bdr w:val="none" w:sz="0" w:space="0" w:color="auto" w:frame="1"/>
          <w:lang w:val="it-IT" w:eastAsia="it-IT"/>
        </w:rPr>
        <w:t>Direttore de L’Accademia dello Showroom</w:t>
      </w:r>
      <w:r w:rsidRPr="00DC4ECB">
        <w:rPr>
          <w:rFonts w:ascii="Barlow" w:eastAsia="Times New Roman" w:hAnsi="Barlow" w:cs="Arial"/>
          <w:color w:val="1F1F1F"/>
          <w:bdr w:val="none" w:sz="0" w:space="0" w:color="auto" w:frame="1"/>
          <w:lang w:val="it-IT" w:eastAsia="it-IT"/>
        </w:rPr>
        <w:t xml:space="preserve">. </w:t>
      </w:r>
    </w:p>
    <w:p w14:paraId="4094F849"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bdr w:val="none" w:sz="0" w:space="0" w:color="auto" w:frame="1"/>
          <w:lang w:val="it-IT" w:eastAsia="it-IT"/>
        </w:rPr>
      </w:pPr>
    </w:p>
    <w:p w14:paraId="2E05EB0D"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lang w:val="it-IT" w:eastAsia="it-IT"/>
        </w:rPr>
      </w:pPr>
      <w:r w:rsidRPr="00DC4ECB">
        <w:rPr>
          <w:rFonts w:ascii="Barlow" w:eastAsia="Times New Roman" w:hAnsi="Barlow" w:cs="Arial"/>
          <w:color w:val="1F1F1F"/>
          <w:bdr w:val="none" w:sz="0" w:space="0" w:color="auto" w:frame="1"/>
          <w:lang w:val="it-IT" w:eastAsia="it-IT"/>
        </w:rPr>
        <w:t>“L’eccellenza manifatturiera e l’innovazione tecnologica non sono sufficienti se il punto vendita non dispone delle competenze per interpretare il progetto e difenderne il valore economico. Gli oltre 500 operatori che hanno scelto di investire il proprio tempo nei nostri corsi rappresentano il segnale tangibile di una distribuzione determinata a qualificarsi come interlocutore indispensabile sia per un utente finale sempre più informato, sia per gli studi di architettura che richiedono figure capaci di padroneggiare con consapevolezza il linguaggio della materia, della durabilità e della sostenibilità certificata”.</w:t>
      </w:r>
      <w:r w:rsidRPr="00DC4ECB">
        <w:rPr>
          <w:rFonts w:ascii="Barlow" w:eastAsia="Times New Roman" w:hAnsi="Barlow" w:cs="Arial"/>
          <w:color w:val="1F1F1F"/>
          <w:lang w:val="it-IT" w:eastAsia="it-IT"/>
        </w:rPr>
        <w:t xml:space="preserve"> </w:t>
      </w:r>
    </w:p>
    <w:p w14:paraId="34172618" w14:textId="77777777" w:rsidR="00DC4ECB" w:rsidRPr="00DC4ECB" w:rsidRDefault="00DC4ECB" w:rsidP="00DC4ECB">
      <w:pPr>
        <w:spacing w:before="100" w:beforeAutospacing="1" w:after="100" w:afterAutospacing="1"/>
        <w:contextualSpacing/>
        <w:jc w:val="both"/>
        <w:rPr>
          <w:rFonts w:ascii="Barlow" w:eastAsia="Times New Roman" w:hAnsi="Barlow" w:cs="Arial"/>
          <w:color w:val="1F1F1F"/>
          <w:lang w:val="it-IT" w:eastAsia="it-IT"/>
        </w:rPr>
      </w:pPr>
    </w:p>
    <w:p w14:paraId="771D2E6C" w14:textId="77777777" w:rsidR="00DC4ECB" w:rsidRPr="00DC4ECB" w:rsidRDefault="00DC4ECB" w:rsidP="00DC4ECB">
      <w:pPr>
        <w:spacing w:before="100" w:beforeAutospacing="1" w:after="100" w:afterAutospacing="1"/>
        <w:contextualSpacing/>
        <w:jc w:val="both"/>
        <w:rPr>
          <w:rFonts w:ascii="Barlow" w:hAnsi="Barlow"/>
          <w:lang w:val="it-IT"/>
        </w:rPr>
      </w:pPr>
      <w:r w:rsidRPr="00DC4ECB">
        <w:rPr>
          <w:rFonts w:ascii="Barlow" w:eastAsia="Times New Roman" w:hAnsi="Barlow" w:cs="Arial"/>
          <w:color w:val="1F1F1F"/>
          <w:bdr w:val="none" w:sz="0" w:space="0" w:color="auto" w:frame="1"/>
          <w:lang w:val="it-IT" w:eastAsia="it-IT"/>
        </w:rPr>
        <w:t xml:space="preserve">Questo traguardo consolida il posizionamento de </w:t>
      </w:r>
      <w:r w:rsidRPr="00DC4ECB">
        <w:rPr>
          <w:rFonts w:ascii="Barlow" w:eastAsia="Times New Roman" w:hAnsi="Barlow" w:cs="Arial"/>
          <w:b/>
          <w:bCs/>
          <w:color w:val="1F1F1F"/>
          <w:bdr w:val="none" w:sz="0" w:space="0" w:color="auto" w:frame="1"/>
          <w:lang w:val="it-IT" w:eastAsia="it-IT"/>
        </w:rPr>
        <w:t>L’Accademia dello Showroom</w:t>
      </w:r>
      <w:r w:rsidRPr="00DC4ECB">
        <w:rPr>
          <w:rFonts w:ascii="Barlow" w:eastAsia="Times New Roman" w:hAnsi="Barlow" w:cs="Arial"/>
          <w:color w:val="1F1F1F"/>
          <w:bdr w:val="none" w:sz="0" w:space="0" w:color="auto" w:frame="1"/>
          <w:lang w:val="it-IT" w:eastAsia="it-IT"/>
        </w:rPr>
        <w:t xml:space="preserve"> e della sua fondatrice </w:t>
      </w:r>
      <w:r w:rsidRPr="00DC4ECB">
        <w:rPr>
          <w:rFonts w:ascii="Barlow" w:eastAsia="Times New Roman" w:hAnsi="Barlow" w:cs="Arial"/>
          <w:b/>
          <w:bCs/>
          <w:color w:val="1F1F1F"/>
          <w:bdr w:val="none" w:sz="0" w:space="0" w:color="auto" w:frame="1"/>
          <w:lang w:val="it-IT" w:eastAsia="it-IT"/>
        </w:rPr>
        <w:t>Veronica Verona</w:t>
      </w:r>
      <w:r w:rsidRPr="00DC4ECB">
        <w:rPr>
          <w:rFonts w:ascii="Barlow" w:eastAsia="Times New Roman" w:hAnsi="Barlow" w:cs="Arial"/>
          <w:color w:val="1F1F1F"/>
          <w:bdr w:val="none" w:sz="0" w:space="0" w:color="auto" w:frame="1"/>
          <w:lang w:val="it-IT" w:eastAsia="it-IT"/>
        </w:rPr>
        <w:t xml:space="preserve"> ai vertici della formazione professionale per il retail dell'arredo e delle finiture, ponendo le basi per ulteriori programmi a supporto della crescita competitiva dell'industria e della distribuzione.</w:t>
      </w:r>
    </w:p>
    <w:p w14:paraId="41B66BBB" w14:textId="77777777" w:rsidR="00DC4ECB" w:rsidRDefault="00DC4ECB" w:rsidP="001F31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Barlow" w:eastAsia="Times New Roman" w:hAnsi="Barlow"/>
          <w:b/>
          <w:bCs/>
          <w:bdr w:val="none" w:sz="0" w:space="0" w:color="auto"/>
          <w:lang w:val="it-IT" w:eastAsia="it-IT"/>
        </w:rPr>
      </w:pPr>
    </w:p>
    <w:p w14:paraId="7F64ABA1" w14:textId="601B110C" w:rsidR="00284D3A" w:rsidRDefault="00DA5B81" w:rsidP="001F31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Barlow" w:eastAsia="Times New Roman" w:hAnsi="Barlow"/>
          <w:b/>
          <w:bCs/>
          <w:bdr w:val="none" w:sz="0" w:space="0" w:color="auto"/>
          <w:lang w:val="it-IT" w:eastAsia="it-IT"/>
        </w:rPr>
      </w:pPr>
      <w:r w:rsidRPr="001F310D">
        <w:rPr>
          <w:rFonts w:ascii="Barlow" w:eastAsia="Times New Roman" w:hAnsi="Barlow"/>
          <w:b/>
          <w:bCs/>
          <w:bdr w:val="none" w:sz="0" w:space="0" w:color="auto"/>
          <w:lang w:val="it-IT" w:eastAsia="it-IT"/>
        </w:rPr>
        <w:lastRenderedPageBreak/>
        <w:t>IMMAGINI DISPONIBILI</w:t>
      </w:r>
    </w:p>
    <w:p w14:paraId="4D8402E7" w14:textId="5C6BD47F" w:rsidR="00284D3A" w:rsidRDefault="00284D3A" w:rsidP="001F31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Barlow" w:eastAsia="Times New Roman" w:hAnsi="Barlow"/>
          <w:b/>
          <w:bCs/>
          <w:bdr w:val="none" w:sz="0" w:space="0" w:color="auto"/>
          <w:lang w:val="it-IT" w:eastAsia="it-IT"/>
        </w:rPr>
      </w:pPr>
      <w:r>
        <w:rPr>
          <w:rFonts w:ascii="Barlow" w:eastAsia="Times New Roman" w:hAnsi="Barlow"/>
          <w:b/>
          <w:bCs/>
          <w:noProof/>
          <w:bdr w:val="none" w:sz="0" w:space="0" w:color="auto"/>
          <w:lang w:val="it-IT" w:eastAsia="it-IT"/>
        </w:rPr>
        <w:drawing>
          <wp:inline distT="0" distB="0" distL="0" distR="0" wp14:anchorId="425E8A01" wp14:editId="49751D95">
            <wp:extent cx="3115190" cy="4154775"/>
            <wp:effectExtent l="0" t="0" r="0" b="0"/>
            <wp:docPr id="1191405361" name="Immagine 1" descr="Immagine che contiene vestiti, testo, presentazione, seminar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05361" name="Immagine 1" descr="Immagine che contiene vestiti, testo, presentazione, seminario&#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55683" cy="4208781"/>
                    </a:xfrm>
                    <a:prstGeom prst="rect">
                      <a:avLst/>
                    </a:prstGeom>
                  </pic:spPr>
                </pic:pic>
              </a:graphicData>
            </a:graphic>
          </wp:inline>
        </w:drawing>
      </w:r>
      <w:r>
        <w:rPr>
          <w:rFonts w:ascii="Barlow" w:eastAsia="Times New Roman" w:hAnsi="Barlow"/>
          <w:b/>
          <w:bCs/>
          <w:bdr w:val="none" w:sz="0" w:space="0" w:color="auto"/>
          <w:lang w:val="it-IT" w:eastAsia="it-IT"/>
        </w:rPr>
        <w:t xml:space="preserve">               </w:t>
      </w:r>
      <w:r>
        <w:rPr>
          <w:rFonts w:ascii="Barlow" w:eastAsia="Times New Roman" w:hAnsi="Barlow"/>
          <w:b/>
          <w:bCs/>
          <w:noProof/>
          <w:bdr w:val="none" w:sz="0" w:space="0" w:color="auto"/>
          <w:lang w:val="it-IT" w:eastAsia="it-IT"/>
        </w:rPr>
        <w:drawing>
          <wp:inline distT="0" distB="0" distL="0" distR="0" wp14:anchorId="52DED292" wp14:editId="6CD1D8C0">
            <wp:extent cx="3114392" cy="4153711"/>
            <wp:effectExtent l="0" t="0" r="0" b="0"/>
            <wp:docPr id="1699630791" name="Immagine 2" descr="Immagine che contiene testo, vestiti, presentazione, inter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30791" name="Immagine 2" descr="Immagine che contiene testo, vestiti, presentazione, interno&#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71399" cy="4229743"/>
                    </a:xfrm>
                    <a:prstGeom prst="rect">
                      <a:avLst/>
                    </a:prstGeom>
                  </pic:spPr>
                </pic:pic>
              </a:graphicData>
            </a:graphic>
          </wp:inline>
        </w:drawing>
      </w:r>
    </w:p>
    <w:p w14:paraId="58232649" w14:textId="77777777" w:rsidR="00284D3A" w:rsidRDefault="00284D3A" w:rsidP="001F31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Barlow" w:eastAsia="Times New Roman" w:hAnsi="Barlow"/>
          <w:b/>
          <w:bCs/>
          <w:bdr w:val="none" w:sz="0" w:space="0" w:color="auto"/>
          <w:lang w:val="it-IT" w:eastAsia="it-IT"/>
        </w:rPr>
      </w:pPr>
    </w:p>
    <w:p w14:paraId="15A68418" w14:textId="4EFA94F0" w:rsidR="001F310D" w:rsidRPr="001F310D" w:rsidRDefault="00284D3A" w:rsidP="001F31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Barlow" w:eastAsia="Times New Roman" w:hAnsi="Barlow"/>
          <w:b/>
          <w:bCs/>
          <w:bdr w:val="none" w:sz="0" w:space="0" w:color="auto"/>
          <w:lang w:val="it-IT" w:eastAsia="it-IT"/>
        </w:rPr>
      </w:pPr>
      <w:r>
        <w:rPr>
          <w:rFonts w:ascii="Barlow" w:eastAsia="Times New Roman" w:hAnsi="Barlow"/>
          <w:b/>
          <w:bCs/>
          <w:noProof/>
          <w:bdr w:val="none" w:sz="0" w:space="0" w:color="auto"/>
          <w:lang w:val="it-IT" w:eastAsia="it-IT"/>
        </w:rPr>
        <w:drawing>
          <wp:inline distT="0" distB="0" distL="0" distR="0" wp14:anchorId="21B89527" wp14:editId="5D56FA6C">
            <wp:extent cx="3114675" cy="4152900"/>
            <wp:effectExtent l="0" t="0" r="0" b="0"/>
            <wp:docPr id="353226444" name="Immagine 3" descr="Immagine che contiene vestiti, calzature, jeans, person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444" name="Immagine 3" descr="Immagine che contiene vestiti, calzature, jeans, persona&#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47134" cy="4196179"/>
                    </a:xfrm>
                    <a:prstGeom prst="rect">
                      <a:avLst/>
                    </a:prstGeom>
                  </pic:spPr>
                </pic:pic>
              </a:graphicData>
            </a:graphic>
          </wp:inline>
        </w:drawing>
      </w:r>
      <w:r>
        <w:rPr>
          <w:rFonts w:ascii="Barlow" w:eastAsia="Times New Roman" w:hAnsi="Barlow"/>
          <w:b/>
          <w:bCs/>
          <w:bdr w:val="none" w:sz="0" w:space="0" w:color="auto"/>
          <w:lang w:val="it-IT" w:eastAsia="it-IT"/>
        </w:rPr>
        <w:t xml:space="preserve">  </w:t>
      </w:r>
      <w:r>
        <w:rPr>
          <w:rFonts w:ascii="Barlow" w:hAnsi="Barlow"/>
          <w:b/>
          <w:bCs/>
          <w:noProof/>
          <w:lang w:val="it-IT"/>
        </w:rPr>
        <w:drawing>
          <wp:inline distT="0" distB="0" distL="0" distR="0" wp14:anchorId="7C34F66B" wp14:editId="17CE386A">
            <wp:extent cx="3481352" cy="3766072"/>
            <wp:effectExtent l="0" t="0" r="0" b="6350"/>
            <wp:docPr id="749940344" name="Immagine 2" descr="Immagine che contiene vestiti, persona, Viso umano, mu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40344" name="Immagine 2" descr="Immagine che contiene vestiti, persona, Viso umano, muro&#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4207" cy="3898974"/>
                    </a:xfrm>
                    <a:prstGeom prst="rect">
                      <a:avLst/>
                    </a:prstGeom>
                  </pic:spPr>
                </pic:pic>
              </a:graphicData>
            </a:graphic>
          </wp:inline>
        </w:drawing>
      </w:r>
    </w:p>
    <w:p w14:paraId="1832C669" w14:textId="0E135C72" w:rsidR="00284D3A" w:rsidRDefault="00284D3A" w:rsidP="00284D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4321" w:firstLine="720"/>
        <w:contextualSpacing/>
        <w:jc w:val="both"/>
        <w:rPr>
          <w:rFonts w:ascii="Barlow" w:eastAsia="Times New Roman" w:hAnsi="Barlow"/>
          <w:b/>
          <w:bCs/>
          <w:sz w:val="18"/>
          <w:szCs w:val="18"/>
          <w:bdr w:val="none" w:sz="0" w:space="0" w:color="auto"/>
          <w:lang w:val="it-IT" w:eastAsia="it-IT"/>
        </w:rPr>
      </w:pPr>
      <w:r>
        <w:rPr>
          <w:rFonts w:ascii="Barlow" w:eastAsia="Times New Roman" w:hAnsi="Barlow"/>
          <w:b/>
          <w:bCs/>
          <w:sz w:val="18"/>
          <w:szCs w:val="18"/>
          <w:bdr w:val="none" w:sz="0" w:space="0" w:color="auto"/>
          <w:lang w:val="it-IT" w:eastAsia="it-IT"/>
        </w:rPr>
        <w:t>-</w:t>
      </w:r>
      <w:r w:rsidR="001F310D">
        <w:rPr>
          <w:rFonts w:ascii="Barlow" w:eastAsia="Times New Roman" w:hAnsi="Barlow"/>
          <w:b/>
          <w:bCs/>
          <w:sz w:val="18"/>
          <w:szCs w:val="18"/>
          <w:bdr w:val="none" w:sz="0" w:space="0" w:color="auto"/>
          <w:lang w:val="it-IT" w:eastAsia="it-IT"/>
        </w:rPr>
        <w:t xml:space="preserve"> </w:t>
      </w:r>
      <w:r w:rsidR="00DA5B81" w:rsidRPr="001F310D">
        <w:rPr>
          <w:rFonts w:ascii="Barlow" w:eastAsia="Times New Roman" w:hAnsi="Barlow"/>
          <w:b/>
          <w:bCs/>
          <w:sz w:val="18"/>
          <w:szCs w:val="18"/>
          <w:bdr w:val="none" w:sz="0" w:space="0" w:color="auto"/>
          <w:lang w:val="it-IT" w:eastAsia="it-IT"/>
        </w:rPr>
        <w:t xml:space="preserve">Veronica Verona </w:t>
      </w:r>
    </w:p>
    <w:p w14:paraId="5B58B0FC" w14:textId="61691AB7" w:rsidR="00E14122" w:rsidRPr="00284D3A" w:rsidRDefault="00DA5B81" w:rsidP="00284D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4321" w:firstLine="720"/>
        <w:contextualSpacing/>
        <w:jc w:val="both"/>
        <w:rPr>
          <w:rFonts w:ascii="Barlow" w:eastAsia="Times New Roman" w:hAnsi="Barlow"/>
          <w:b/>
          <w:bCs/>
          <w:sz w:val="18"/>
          <w:szCs w:val="18"/>
          <w:bdr w:val="none" w:sz="0" w:space="0" w:color="auto"/>
          <w:lang w:val="it-IT" w:eastAsia="it-IT"/>
        </w:rPr>
      </w:pPr>
      <w:r w:rsidRPr="001F310D">
        <w:rPr>
          <w:rFonts w:ascii="Barlow" w:eastAsia="Times New Roman" w:hAnsi="Barlow"/>
          <w:b/>
          <w:bCs/>
          <w:sz w:val="18"/>
          <w:szCs w:val="18"/>
          <w:bdr w:val="none" w:sz="0" w:space="0" w:color="auto"/>
          <w:lang w:val="it-IT" w:eastAsia="it-IT"/>
        </w:rPr>
        <w:t>(</w:t>
      </w:r>
      <w:r w:rsidR="00284D3A">
        <w:rPr>
          <w:rFonts w:ascii="Barlow" w:eastAsia="Times New Roman" w:hAnsi="Barlow"/>
          <w:b/>
          <w:bCs/>
          <w:sz w:val="18"/>
          <w:szCs w:val="18"/>
          <w:bdr w:val="none" w:sz="0" w:space="0" w:color="auto"/>
          <w:lang w:val="it-IT" w:eastAsia="it-IT"/>
        </w:rPr>
        <w:t>Direttore e f</w:t>
      </w:r>
      <w:r w:rsidRPr="001F310D">
        <w:rPr>
          <w:rFonts w:ascii="Barlow" w:eastAsia="Times New Roman" w:hAnsi="Barlow"/>
          <w:b/>
          <w:bCs/>
          <w:sz w:val="18"/>
          <w:szCs w:val="18"/>
          <w:bdr w:val="none" w:sz="0" w:space="0" w:color="auto"/>
          <w:lang w:val="it-IT" w:eastAsia="it-IT"/>
        </w:rPr>
        <w:t>ondatrice de L’Accademia dello Showroom)</w:t>
      </w:r>
    </w:p>
    <w:sectPr w:rsidR="00E14122" w:rsidRPr="00284D3A" w:rsidSect="004F1562">
      <w:headerReference w:type="default" r:id="rId11"/>
      <w:footerReference w:type="default" r:id="rId12"/>
      <w:pgSz w:w="11906" w:h="16838"/>
      <w:pgMar w:top="1134" w:right="707" w:bottom="1071" w:left="708" w:header="329"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921B2" w14:textId="77777777" w:rsidR="00CE13A3" w:rsidRDefault="00CE13A3">
      <w:r>
        <w:separator/>
      </w:r>
    </w:p>
  </w:endnote>
  <w:endnote w:type="continuationSeparator" w:id="0">
    <w:p w14:paraId="0DA28EFB" w14:textId="77777777" w:rsidR="00CE13A3" w:rsidRDefault="00CE1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Barlow">
    <w:panose1 w:val="00000500000000000000"/>
    <w:charset w:val="4D"/>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NeueHaasGroteskDisp Std">
    <w:altName w:val="Cambria"/>
    <w:panose1 w:val="020B0604020202020204"/>
    <w:charset w:val="00"/>
    <w:family w:val="roman"/>
    <w:pitch w:val="default"/>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0316" w14:textId="77777777" w:rsidR="009E1899" w:rsidRDefault="00000000">
    <w:pPr>
      <w:pStyle w:val="Intestazioneepidipagina"/>
      <w:tabs>
        <w:tab w:val="clear" w:pos="9020"/>
        <w:tab w:val="center" w:pos="4819"/>
        <w:tab w:val="right" w:pos="9638"/>
      </w:tabs>
    </w:pPr>
    <w:r>
      <w:rPr>
        <w:rFonts w:ascii="Avenir Book" w:eastAsia="Avenir Book" w:hAnsi="Avenir Book" w:cs="Avenir Book"/>
        <w:sz w:val="18"/>
        <w:szCs w:val="18"/>
      </w:rPr>
      <w:tab/>
    </w:r>
    <w:r>
      <w:rPr>
        <w:rFonts w:ascii="Avenir Book" w:hAnsi="Avenir Book"/>
        <w:sz w:val="18"/>
        <w:szCs w:val="18"/>
      </w:rPr>
      <w:t>L’Accademia dello Showroom è un marchio Upstairs S.r.l.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F9814" w14:textId="77777777" w:rsidR="00CE13A3" w:rsidRDefault="00CE13A3">
      <w:r>
        <w:separator/>
      </w:r>
    </w:p>
  </w:footnote>
  <w:footnote w:type="continuationSeparator" w:id="0">
    <w:p w14:paraId="2FF1F6A8" w14:textId="77777777" w:rsidR="00CE13A3" w:rsidRDefault="00CE1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3FDF" w14:textId="23F552BE" w:rsidR="009E1899" w:rsidRDefault="00973E76" w:rsidP="00222EF6">
    <w:pPr>
      <w:pStyle w:val="Intestazioneepidipagina"/>
      <w:tabs>
        <w:tab w:val="clear" w:pos="9020"/>
        <w:tab w:val="center" w:pos="4819"/>
        <w:tab w:val="right" w:pos="9638"/>
      </w:tabs>
      <w:spacing w:after="80"/>
    </w:pPr>
    <w:r>
      <w:rPr>
        <w:rFonts w:ascii="NeueHaasGroteskDisp Std" w:eastAsia="NeueHaasGroteskDisp Std" w:hAnsi="NeueHaasGroteskDisp Std" w:cs="NeueHaasGroteskDisp Std"/>
        <w:sz w:val="22"/>
        <w:szCs w:val="22"/>
        <w:u w:color="000000"/>
      </w:rPr>
      <w:tab/>
    </w:r>
    <w:r>
      <w:rPr>
        <w:rFonts w:ascii="NeueHaasGroteskDisp Std" w:eastAsia="NeueHaasGroteskDisp Std" w:hAnsi="NeueHaasGroteskDisp Std" w:cs="NeueHaasGroteskDisp Std"/>
        <w:sz w:val="22"/>
        <w:szCs w:val="22"/>
        <w:u w:color="000000"/>
      </w:rPr>
      <w:tab/>
    </w:r>
    <w:r>
      <w:rPr>
        <w:rFonts w:eastAsia="Helvetica Neue" w:cs="Helvetica Neue"/>
        <w:noProof/>
        <w:u w:color="000000"/>
      </w:rPr>
      <w:drawing>
        <wp:inline distT="0" distB="0" distL="0" distR="0" wp14:anchorId="5520957F" wp14:editId="66F8CB7B">
          <wp:extent cx="1684866" cy="614469"/>
          <wp:effectExtent l="0" t="0" r="4445" b="0"/>
          <wp:docPr id="1073741825" name="officeArt object" descr="Logo.png"/>
          <wp:cNvGraphicFramePr/>
          <a:graphic xmlns:a="http://schemas.openxmlformats.org/drawingml/2006/main">
            <a:graphicData uri="http://schemas.openxmlformats.org/drawingml/2006/picture">
              <pic:pic xmlns:pic="http://schemas.openxmlformats.org/drawingml/2006/picture">
                <pic:nvPicPr>
                  <pic:cNvPr id="1073741825" name="Logo.png" descr="Logo.png"/>
                  <pic:cNvPicPr>
                    <a:picLocks noChangeAspect="1"/>
                  </pic:cNvPicPr>
                </pic:nvPicPr>
                <pic:blipFill>
                  <a:blip r:embed="rId1"/>
                  <a:srcRect l="3908" t="29212" r="3908" b="29212"/>
                  <a:stretch>
                    <a:fillRect/>
                  </a:stretch>
                </pic:blipFill>
                <pic:spPr>
                  <a:xfrm>
                    <a:off x="0" y="0"/>
                    <a:ext cx="1711012" cy="62400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8E6"/>
    <w:multiLevelType w:val="multilevel"/>
    <w:tmpl w:val="075C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A250D"/>
    <w:multiLevelType w:val="hybridMultilevel"/>
    <w:tmpl w:val="8F309F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5E46250"/>
    <w:multiLevelType w:val="multilevel"/>
    <w:tmpl w:val="D9B81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E625A1"/>
    <w:multiLevelType w:val="hybridMultilevel"/>
    <w:tmpl w:val="94004CF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94696056">
    <w:abstractNumId w:val="2"/>
  </w:num>
  <w:num w:numId="2" w16cid:durableId="1238369711">
    <w:abstractNumId w:val="3"/>
  </w:num>
  <w:num w:numId="3" w16cid:durableId="1577397226">
    <w:abstractNumId w:val="0"/>
  </w:num>
  <w:num w:numId="4" w16cid:durableId="1371758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899"/>
    <w:rsid w:val="00022F3B"/>
    <w:rsid w:val="0004507C"/>
    <w:rsid w:val="000514B0"/>
    <w:rsid w:val="00053D37"/>
    <w:rsid w:val="00097B1A"/>
    <w:rsid w:val="000B73DF"/>
    <w:rsid w:val="000E2694"/>
    <w:rsid w:val="001E60E3"/>
    <w:rsid w:val="001F0E2B"/>
    <w:rsid w:val="001F310D"/>
    <w:rsid w:val="002133E4"/>
    <w:rsid w:val="00213FC1"/>
    <w:rsid w:val="00222EF6"/>
    <w:rsid w:val="00243DE2"/>
    <w:rsid w:val="00255F12"/>
    <w:rsid w:val="00256EA7"/>
    <w:rsid w:val="00261B11"/>
    <w:rsid w:val="00264C26"/>
    <w:rsid w:val="002831F1"/>
    <w:rsid w:val="00284D3A"/>
    <w:rsid w:val="002A0F74"/>
    <w:rsid w:val="002B76E3"/>
    <w:rsid w:val="00355963"/>
    <w:rsid w:val="003E3192"/>
    <w:rsid w:val="00426526"/>
    <w:rsid w:val="004F0C0C"/>
    <w:rsid w:val="004F1562"/>
    <w:rsid w:val="004F2750"/>
    <w:rsid w:val="0050156C"/>
    <w:rsid w:val="00515CD4"/>
    <w:rsid w:val="00520E2A"/>
    <w:rsid w:val="005467E2"/>
    <w:rsid w:val="00576A4B"/>
    <w:rsid w:val="005E1F00"/>
    <w:rsid w:val="005F554A"/>
    <w:rsid w:val="00624D90"/>
    <w:rsid w:val="00640DB7"/>
    <w:rsid w:val="00692F7F"/>
    <w:rsid w:val="006A559E"/>
    <w:rsid w:val="00705CE5"/>
    <w:rsid w:val="00742EDF"/>
    <w:rsid w:val="00755F2A"/>
    <w:rsid w:val="00801327"/>
    <w:rsid w:val="00807152"/>
    <w:rsid w:val="008560F8"/>
    <w:rsid w:val="00863411"/>
    <w:rsid w:val="00877C2C"/>
    <w:rsid w:val="008B54B0"/>
    <w:rsid w:val="008E3796"/>
    <w:rsid w:val="008F02C7"/>
    <w:rsid w:val="00926F9A"/>
    <w:rsid w:val="009460EC"/>
    <w:rsid w:val="00973E76"/>
    <w:rsid w:val="009A48E7"/>
    <w:rsid w:val="009E1899"/>
    <w:rsid w:val="00A34603"/>
    <w:rsid w:val="00AE06D6"/>
    <w:rsid w:val="00B259F2"/>
    <w:rsid w:val="00B35B5B"/>
    <w:rsid w:val="00B51943"/>
    <w:rsid w:val="00B54F9B"/>
    <w:rsid w:val="00B67148"/>
    <w:rsid w:val="00B80DEB"/>
    <w:rsid w:val="00BE0CBA"/>
    <w:rsid w:val="00C019EA"/>
    <w:rsid w:val="00C60B55"/>
    <w:rsid w:val="00C63BF9"/>
    <w:rsid w:val="00C66FE2"/>
    <w:rsid w:val="00C67455"/>
    <w:rsid w:val="00CB677E"/>
    <w:rsid w:val="00CE13A3"/>
    <w:rsid w:val="00D05BC4"/>
    <w:rsid w:val="00D841CC"/>
    <w:rsid w:val="00D8500B"/>
    <w:rsid w:val="00D944DB"/>
    <w:rsid w:val="00DA042B"/>
    <w:rsid w:val="00DA5B81"/>
    <w:rsid w:val="00DC0D2A"/>
    <w:rsid w:val="00DC4ECB"/>
    <w:rsid w:val="00E04C6A"/>
    <w:rsid w:val="00E14122"/>
    <w:rsid w:val="00E45B35"/>
    <w:rsid w:val="00E47064"/>
    <w:rsid w:val="00EF7548"/>
    <w:rsid w:val="00F11356"/>
    <w:rsid w:val="00F20096"/>
    <w:rsid w:val="00F60222"/>
    <w:rsid w:val="00FE5F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3D4B"/>
  <w15:docId w15:val="{78709B7C-6AD7-9647-A39F-3FE2FECCF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Intestazione">
    <w:name w:val="header"/>
    <w:basedOn w:val="Normale"/>
    <w:link w:val="IntestazioneCarattere"/>
    <w:uiPriority w:val="99"/>
    <w:unhideWhenUsed/>
    <w:rsid w:val="00222EF6"/>
    <w:pPr>
      <w:tabs>
        <w:tab w:val="center" w:pos="4819"/>
        <w:tab w:val="right" w:pos="9638"/>
      </w:tabs>
    </w:pPr>
  </w:style>
  <w:style w:type="character" w:customStyle="1" w:styleId="IntestazioneCarattere">
    <w:name w:val="Intestazione Carattere"/>
    <w:basedOn w:val="Carpredefinitoparagrafo"/>
    <w:link w:val="Intestazione"/>
    <w:uiPriority w:val="99"/>
    <w:rsid w:val="00222EF6"/>
    <w:rPr>
      <w:sz w:val="24"/>
      <w:szCs w:val="24"/>
      <w:lang w:val="en-US" w:eastAsia="en-US"/>
    </w:rPr>
  </w:style>
  <w:style w:type="paragraph" w:styleId="Pidipagina">
    <w:name w:val="footer"/>
    <w:basedOn w:val="Normale"/>
    <w:link w:val="PidipaginaCarattere"/>
    <w:uiPriority w:val="99"/>
    <w:unhideWhenUsed/>
    <w:rsid w:val="00222EF6"/>
    <w:pPr>
      <w:tabs>
        <w:tab w:val="center" w:pos="4819"/>
        <w:tab w:val="right" w:pos="9638"/>
      </w:tabs>
    </w:pPr>
  </w:style>
  <w:style w:type="character" w:customStyle="1" w:styleId="PidipaginaCarattere">
    <w:name w:val="Piè di pagina Carattere"/>
    <w:basedOn w:val="Carpredefinitoparagrafo"/>
    <w:link w:val="Pidipagina"/>
    <w:uiPriority w:val="99"/>
    <w:rsid w:val="00222EF6"/>
    <w:rPr>
      <w:sz w:val="24"/>
      <w:szCs w:val="24"/>
      <w:lang w:val="en-US" w:eastAsia="en-US"/>
    </w:rPr>
  </w:style>
  <w:style w:type="paragraph" w:styleId="Paragrafoelenco">
    <w:name w:val="List Paragraph"/>
    <w:basedOn w:val="Normale"/>
    <w:uiPriority w:val="34"/>
    <w:qFormat/>
    <w:rsid w:val="00705CE5"/>
    <w:pPr>
      <w:ind w:left="720"/>
      <w:contextualSpacing/>
    </w:pPr>
  </w:style>
  <w:style w:type="paragraph" w:styleId="NormaleWeb">
    <w:name w:val="Normal (Web)"/>
    <w:basedOn w:val="Normale"/>
    <w:uiPriority w:val="99"/>
    <w:semiHidden/>
    <w:unhideWhenUsed/>
    <w:rsid w:val="00256EA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 w:type="character" w:styleId="Enfasigrassetto">
    <w:name w:val="Strong"/>
    <w:basedOn w:val="Carpredefinitoparagrafo"/>
    <w:uiPriority w:val="22"/>
    <w:qFormat/>
    <w:rsid w:val="002B76E3"/>
    <w:rPr>
      <w:b/>
      <w:bCs/>
    </w:rPr>
  </w:style>
  <w:style w:type="character" w:styleId="Enfasicorsivo">
    <w:name w:val="Emphasis"/>
    <w:basedOn w:val="Carpredefinitoparagrafo"/>
    <w:uiPriority w:val="20"/>
    <w:qFormat/>
    <w:rsid w:val="001F310D"/>
    <w:rPr>
      <w:i/>
      <w:iCs/>
    </w:rPr>
  </w:style>
  <w:style w:type="paragraph" w:styleId="Revisione">
    <w:name w:val="Revision"/>
    <w:hidden/>
    <w:uiPriority w:val="99"/>
    <w:semiHidden/>
    <w:rsid w:val="00264C2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Rimandocommento">
    <w:name w:val="annotation reference"/>
    <w:basedOn w:val="Carpredefinitoparagrafo"/>
    <w:uiPriority w:val="99"/>
    <w:semiHidden/>
    <w:unhideWhenUsed/>
    <w:rsid w:val="00264C26"/>
    <w:rPr>
      <w:sz w:val="16"/>
      <w:szCs w:val="16"/>
    </w:rPr>
  </w:style>
  <w:style w:type="paragraph" w:styleId="Testocommento">
    <w:name w:val="annotation text"/>
    <w:basedOn w:val="Normale"/>
    <w:link w:val="TestocommentoCarattere"/>
    <w:uiPriority w:val="99"/>
    <w:semiHidden/>
    <w:unhideWhenUsed/>
    <w:rsid w:val="00264C26"/>
    <w:rPr>
      <w:sz w:val="20"/>
      <w:szCs w:val="20"/>
    </w:rPr>
  </w:style>
  <w:style w:type="character" w:customStyle="1" w:styleId="TestocommentoCarattere">
    <w:name w:val="Testo commento Carattere"/>
    <w:basedOn w:val="Carpredefinitoparagrafo"/>
    <w:link w:val="Testocommento"/>
    <w:uiPriority w:val="99"/>
    <w:semiHidden/>
    <w:rsid w:val="00264C26"/>
    <w:rPr>
      <w:lang w:val="en-US" w:eastAsia="en-US"/>
    </w:rPr>
  </w:style>
  <w:style w:type="paragraph" w:styleId="Soggettocommento">
    <w:name w:val="annotation subject"/>
    <w:basedOn w:val="Testocommento"/>
    <w:next w:val="Testocommento"/>
    <w:link w:val="SoggettocommentoCarattere"/>
    <w:uiPriority w:val="99"/>
    <w:semiHidden/>
    <w:unhideWhenUsed/>
    <w:rsid w:val="00264C26"/>
    <w:rPr>
      <w:b/>
      <w:bCs/>
    </w:rPr>
  </w:style>
  <w:style w:type="character" w:customStyle="1" w:styleId="SoggettocommentoCarattere">
    <w:name w:val="Soggetto commento Carattere"/>
    <w:basedOn w:val="TestocommentoCarattere"/>
    <w:link w:val="Soggettocommento"/>
    <w:uiPriority w:val="99"/>
    <w:semiHidden/>
    <w:rsid w:val="00264C2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502</Words>
  <Characters>2867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Giuseppe Turatti</cp:lastModifiedBy>
  <cp:revision>3</cp:revision>
  <dcterms:created xsi:type="dcterms:W3CDTF">2026-09-24T15:16:00Z</dcterms:created>
  <dcterms:modified xsi:type="dcterms:W3CDTF">2026-09-24T15:43:00Z</dcterms:modified>
</cp:coreProperties>
</file>