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3210" w14:textId="77777777" w:rsidR="00F96BD8" w:rsidRPr="00222451" w:rsidRDefault="00F96BD8" w:rsidP="00F96BD8">
      <w:pPr>
        <w:tabs>
          <w:tab w:val="right" w:pos="9638"/>
        </w:tabs>
        <w:spacing w:before="100" w:beforeAutospacing="1" w:after="100" w:afterAutospacing="1"/>
        <w:contextualSpacing/>
        <w:rPr>
          <w:rFonts w:ascii="Barlow" w:hAnsi="Barlow"/>
        </w:rPr>
      </w:pPr>
      <w:r w:rsidRPr="00222451">
        <w:rPr>
          <w:rFonts w:ascii="Barlow" w:eastAsia="Calibri" w:hAnsi="Barlow" w:cs="Calibri"/>
          <w:b/>
          <w:bCs/>
        </w:rPr>
        <w:t>COMUNICATO DI PRODOTTO</w:t>
      </w:r>
      <w:r w:rsidRPr="00222451">
        <w:rPr>
          <w:rFonts w:ascii="Barlow" w:eastAsia="Calibri" w:hAnsi="Barlow" w:cs="Calibri"/>
        </w:rPr>
        <w:tab/>
      </w:r>
      <w:proofErr w:type="gramStart"/>
      <w:r w:rsidRPr="00222451">
        <w:rPr>
          <w:rFonts w:ascii="Barlow" w:eastAsia="Calibri" w:hAnsi="Barlow" w:cs="Calibri"/>
          <w:b/>
          <w:bCs/>
        </w:rPr>
        <w:t>Settembre</w:t>
      </w:r>
      <w:proofErr w:type="gramEnd"/>
      <w:r w:rsidRPr="00222451">
        <w:rPr>
          <w:rFonts w:ascii="Barlow" w:eastAsia="Calibri" w:hAnsi="Barlow" w:cs="Calibri"/>
          <w:b/>
          <w:bCs/>
        </w:rPr>
        <w:t xml:space="preserve"> </w:t>
      </w:r>
      <w:r w:rsidRPr="00222451">
        <w:rPr>
          <w:rFonts w:ascii="Barlow" w:eastAsia="Calibri" w:hAnsi="Barlow" w:cs="Calibri"/>
          <w:b/>
          <w:bCs/>
        </w:rPr>
        <w:t>2026</w:t>
      </w:r>
    </w:p>
    <w:p w14:paraId="08E3DE3E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</w:p>
    <w:p w14:paraId="7551526A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  <w:r w:rsidRPr="00F96BD8">
        <w:rPr>
          <w:rFonts w:ascii="Barlow" w:eastAsia="Calibri" w:hAnsi="Barlow" w:cs="Calibri"/>
          <w:b/>
          <w:bCs/>
          <w:sz w:val="24"/>
          <w:szCs w:val="24"/>
        </w:rPr>
        <w:t xml:space="preserve">TVD: LA NUOVA GAMMA DI CHILLER CONDENSATI AD ARIA </w:t>
      </w:r>
      <w:r>
        <w:rPr>
          <w:rFonts w:ascii="Barlow" w:eastAsia="Calibri" w:hAnsi="Barlow" w:cs="Calibri"/>
          <w:b/>
          <w:bCs/>
          <w:sz w:val="24"/>
          <w:szCs w:val="24"/>
        </w:rPr>
        <w:t>DI HIREF</w:t>
      </w:r>
    </w:p>
    <w:p w14:paraId="0FA5544D" w14:textId="3719D6C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F96BD8">
        <w:rPr>
          <w:rFonts w:ascii="Barlow" w:eastAsia="Calibri" w:hAnsi="Barlow" w:cs="Calibri"/>
          <w:b/>
          <w:bCs/>
          <w:sz w:val="24"/>
          <w:szCs w:val="24"/>
        </w:rPr>
        <w:t>PER I DATA CENTER DI ULTIMA GENERAZIONE</w:t>
      </w:r>
    </w:p>
    <w:p w14:paraId="52D54C25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</w:p>
    <w:p w14:paraId="549FC232" w14:textId="403BD7DF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 xml:space="preserve">Progettata e prodotta da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HiRef,</w:t>
      </w:r>
      <w:r w:rsidRPr="00F96BD8">
        <w:rPr>
          <w:rFonts w:ascii="Barlow" w:eastAsia="Calibri" w:hAnsi="Barlow" w:cs="Calibri"/>
          <w:sz w:val="24"/>
          <w:szCs w:val="24"/>
        </w:rPr>
        <w:t xml:space="preserve">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TVD</w:t>
      </w:r>
      <w:r w:rsidRPr="00F96BD8">
        <w:rPr>
          <w:rFonts w:ascii="Barlow" w:eastAsia="Calibri" w:hAnsi="Barlow" w:cs="Calibri"/>
          <w:sz w:val="24"/>
          <w:szCs w:val="24"/>
        </w:rPr>
        <w:t xml:space="preserve"> è la gamma di refrigeratori condensati ad aria con compressori a vite con inverter, pensata per le nuove tendenze del settore Data Center e per processi industriali energeticamente intensivi. </w:t>
      </w:r>
    </w:p>
    <w:p w14:paraId="116D811D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</w:p>
    <w:p w14:paraId="0FE9E929" w14:textId="4BD3A4FE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>La gamma copre un range di potenza frigorifera da 512 a 3000 kW, con dieci taglie disponibili, per esigenze impiantistiche di diversa dimensione.</w:t>
      </w:r>
    </w:p>
    <w:p w14:paraId="0BA4BBA9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</w:p>
    <w:p w14:paraId="4AD35543" w14:textId="7777777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  <w:r w:rsidRPr="00F96BD8">
        <w:rPr>
          <w:rFonts w:ascii="Barlow" w:eastAsia="Calibri" w:hAnsi="Barlow" w:cs="Calibri"/>
          <w:b/>
          <w:bCs/>
          <w:sz w:val="24"/>
          <w:szCs w:val="24"/>
        </w:rPr>
        <w:t>Compressori a vite con inverter e batterie a V ad alta efficienza</w:t>
      </w:r>
      <w:r w:rsidRPr="00F96BD8">
        <w:rPr>
          <w:rFonts w:ascii="Barlow" w:eastAsia="Calibri" w:hAnsi="Barlow" w:cs="Calibri"/>
          <w:sz w:val="24"/>
          <w:szCs w:val="24"/>
        </w:rPr>
        <w:t xml:space="preserve"> </w:t>
      </w:r>
    </w:p>
    <w:p w14:paraId="4331FCE0" w14:textId="12510FAF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 xml:space="preserve">Il cuore della gamma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 xml:space="preserve">TVD </w:t>
      </w:r>
      <w:r w:rsidRPr="00F96BD8">
        <w:rPr>
          <w:rFonts w:ascii="Barlow" w:eastAsia="Calibri" w:hAnsi="Barlow" w:cs="Calibri"/>
          <w:sz w:val="24"/>
          <w:szCs w:val="24"/>
        </w:rPr>
        <w:t xml:space="preserve">è rappresentato dai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compressori a vite dotati di inverter</w:t>
      </w:r>
      <w:r w:rsidRPr="00F96BD8">
        <w:rPr>
          <w:rFonts w:ascii="Barlow" w:eastAsia="Calibri" w:hAnsi="Barlow" w:cs="Calibri"/>
          <w:sz w:val="24"/>
          <w:szCs w:val="24"/>
        </w:rPr>
        <w:t xml:space="preserve">, che garantiscono una modulazione costante della potenza erogata e un'elevata efficienza energetica anche ai carichi parziali. La modulazione della capacità può avvenire tramite inverter su entrambi i compressori oppure su un solo compressore, a seconda delle esigenze impiantistiche. I più alti rapporti efficienza/ingombro sono raggiunti grazie alla particolare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configurazione a “V” delle batterie di scambio termico</w:t>
      </w:r>
      <w:r w:rsidRPr="00F96BD8">
        <w:rPr>
          <w:rFonts w:ascii="Barlow" w:eastAsia="Calibri" w:hAnsi="Barlow" w:cs="Calibri"/>
          <w:sz w:val="24"/>
          <w:szCs w:val="24"/>
        </w:rPr>
        <w:t>, molto profonde e con la maggiore dimensione tra i chiller attualmente presenti sul mercato: una soluzione che garantisce superfici di scambio elevate ed efficienza termica alta in relazione al footprint dell'unità.</w:t>
      </w:r>
    </w:p>
    <w:p w14:paraId="3E8B8645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</w:p>
    <w:p w14:paraId="6FBEEC46" w14:textId="187029A6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F96BD8">
        <w:rPr>
          <w:rFonts w:ascii="Barlow" w:eastAsia="Calibri" w:hAnsi="Barlow" w:cs="Calibri"/>
          <w:b/>
          <w:bCs/>
          <w:sz w:val="24"/>
          <w:szCs w:val="24"/>
        </w:rPr>
        <w:t>Basso impatto ambientale e nuovo concetto di scambio termico</w:t>
      </w:r>
    </w:p>
    <w:p w14:paraId="0A7B1D8A" w14:textId="7C3375C0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eastAsia="Calibri" w:hAnsi="Barlow" w:cs="Calibri"/>
          <w:sz w:val="24"/>
          <w:szCs w:val="24"/>
        </w:rPr>
        <w:t xml:space="preserve">Il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basso impatto ambientale</w:t>
      </w:r>
      <w:r>
        <w:rPr>
          <w:rFonts w:ascii="Barlow" w:eastAsia="Calibri" w:hAnsi="Barlow" w:cs="Calibri"/>
          <w:sz w:val="24"/>
          <w:szCs w:val="24"/>
        </w:rPr>
        <w:t xml:space="preserve"> e l</w:t>
      </w:r>
      <w:r w:rsidRPr="00F96BD8">
        <w:rPr>
          <w:rFonts w:ascii="Barlow" w:eastAsia="Calibri" w:hAnsi="Barlow" w:cs="Calibri"/>
          <w:sz w:val="24"/>
          <w:szCs w:val="24"/>
        </w:rPr>
        <w:t xml:space="preserve">a sostenibilità della gamma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TVD</w:t>
      </w:r>
      <w:r w:rsidRPr="00F96BD8">
        <w:rPr>
          <w:rFonts w:ascii="Barlow" w:eastAsia="Calibri" w:hAnsi="Barlow" w:cs="Calibri"/>
          <w:sz w:val="24"/>
          <w:szCs w:val="24"/>
        </w:rPr>
        <w:t xml:space="preserve"> passa</w:t>
      </w:r>
      <w:r>
        <w:rPr>
          <w:rFonts w:ascii="Barlow" w:eastAsia="Calibri" w:hAnsi="Barlow" w:cs="Calibri"/>
          <w:sz w:val="24"/>
          <w:szCs w:val="24"/>
        </w:rPr>
        <w:t>no</w:t>
      </w:r>
      <w:r w:rsidRPr="00F96BD8">
        <w:rPr>
          <w:rFonts w:ascii="Barlow" w:eastAsia="Calibri" w:hAnsi="Barlow" w:cs="Calibri"/>
          <w:sz w:val="24"/>
          <w:szCs w:val="24"/>
        </w:rPr>
        <w:t xml:space="preserve"> dall'utilizzo dal </w:t>
      </w:r>
      <w:r w:rsidRPr="00EC4AD9">
        <w:rPr>
          <w:rFonts w:ascii="Barlow" w:eastAsia="Calibri" w:hAnsi="Barlow" w:cs="Calibri"/>
          <w:b/>
          <w:bCs/>
          <w:sz w:val="24"/>
          <w:szCs w:val="24"/>
        </w:rPr>
        <w:t>nuovo refrigerante</w:t>
      </w:r>
      <w:r w:rsidRPr="00F96BD8">
        <w:rPr>
          <w:rFonts w:ascii="Barlow" w:eastAsia="Calibri" w:hAnsi="Barlow" w:cs="Calibri"/>
          <w:sz w:val="24"/>
          <w:szCs w:val="24"/>
        </w:rPr>
        <w:t xml:space="preserve">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R1234ze</w:t>
      </w:r>
      <w:r w:rsidRPr="00F96BD8">
        <w:rPr>
          <w:rFonts w:ascii="Barlow" w:eastAsia="Calibri" w:hAnsi="Barlow" w:cs="Calibri"/>
          <w:sz w:val="24"/>
          <w:szCs w:val="24"/>
        </w:rPr>
        <w:t xml:space="preserve"> di tipo HFO con </w:t>
      </w:r>
      <w:r w:rsidRPr="00EC4AD9">
        <w:rPr>
          <w:rFonts w:ascii="Barlow" w:eastAsia="Calibri" w:hAnsi="Barlow" w:cs="Calibri"/>
          <w:b/>
          <w:bCs/>
          <w:sz w:val="24"/>
          <w:szCs w:val="24"/>
        </w:rPr>
        <w:t>GWP pari a 6</w:t>
      </w:r>
      <w:r w:rsidRPr="00F96BD8">
        <w:rPr>
          <w:rFonts w:ascii="Barlow" w:eastAsia="Calibri" w:hAnsi="Barlow" w:cs="Calibri"/>
          <w:sz w:val="24"/>
          <w:szCs w:val="24"/>
        </w:rPr>
        <w:t xml:space="preserve">, che contribuisce a un basso Total </w:t>
      </w:r>
      <w:proofErr w:type="spellStart"/>
      <w:r w:rsidRPr="00F96BD8">
        <w:rPr>
          <w:rFonts w:ascii="Barlow" w:eastAsia="Calibri" w:hAnsi="Barlow" w:cs="Calibri"/>
          <w:sz w:val="24"/>
          <w:szCs w:val="24"/>
        </w:rPr>
        <w:t>Equivalent</w:t>
      </w:r>
      <w:proofErr w:type="spellEnd"/>
      <w:r w:rsidRPr="00F96BD8">
        <w:rPr>
          <w:rFonts w:ascii="Barlow" w:eastAsia="Calibri" w:hAnsi="Barlow" w:cs="Calibri"/>
          <w:sz w:val="24"/>
          <w:szCs w:val="24"/>
        </w:rPr>
        <w:t xml:space="preserve"> Warming Impact (TEWI) complessivo. A </w:t>
      </w:r>
      <w:r>
        <w:rPr>
          <w:rFonts w:ascii="Barlow" w:eastAsia="Calibri" w:hAnsi="Barlow" w:cs="Calibri"/>
          <w:sz w:val="24"/>
          <w:szCs w:val="24"/>
        </w:rPr>
        <w:t>questo</w:t>
      </w:r>
      <w:r w:rsidRPr="00F96BD8">
        <w:rPr>
          <w:rFonts w:ascii="Barlow" w:eastAsia="Calibri" w:hAnsi="Barlow" w:cs="Calibri"/>
          <w:sz w:val="24"/>
          <w:szCs w:val="24"/>
        </w:rPr>
        <w:t xml:space="preserve"> si affianca un evaporatore a fascio tubiero a singolo passaggio, che grazie alla completa controcorrente nello scambio termico, consente di raggiungere eccellenti valori di efficienza termodinamica.</w:t>
      </w:r>
    </w:p>
    <w:p w14:paraId="7BB79621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</w:p>
    <w:p w14:paraId="3028DE06" w14:textId="09AAE248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F96BD8">
        <w:rPr>
          <w:rFonts w:ascii="Barlow" w:eastAsia="Calibri" w:hAnsi="Barlow" w:cs="Calibri"/>
          <w:b/>
          <w:bCs/>
          <w:sz w:val="24"/>
          <w:szCs w:val="24"/>
        </w:rPr>
        <w:t>Prestazioni elevate, anche in Free-Cooling</w:t>
      </w:r>
    </w:p>
    <w:p w14:paraId="3117431B" w14:textId="77777777" w:rsidR="00EC4AD9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 xml:space="preserve">L'ottimizzazione di tutte le superfici di scambio termico, sia lato DX che Free-Cooling, permette di raggiungere temperature dell'acqua prodotta fino a 40°C e di attivare il Free-Cooling parziale già a partire da 45°C di temperatura dell'aria esterna, per soddisfare le esigenze di tutti i tipi di datacenter, anche i più nuovi. </w:t>
      </w:r>
    </w:p>
    <w:p w14:paraId="2ADA4A12" w14:textId="1FFFBD8B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>Nella configurazione Raffreddamento + Free-Cooling, con temperatura acqua utenza 50/40°C, la gamma TVD raggiunge potenze frigorifere comprese tra 660 e 3000 kW, con valori di EER fino a 12,66. Nella modalità di solo raffreddamento, la potenza frigorifera varia da 541 a 1621 kW, con EER compreso tra 3,6 e 3,83. I livelli di potenza sonora dell'unità base si attestano tra 97 e 102 dB(A).</w:t>
      </w:r>
    </w:p>
    <w:p w14:paraId="324AEF42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</w:p>
    <w:p w14:paraId="13586FBB" w14:textId="4D07761C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  <w:r w:rsidRPr="00F96BD8">
        <w:rPr>
          <w:rFonts w:ascii="Barlow" w:eastAsia="Calibri" w:hAnsi="Barlow" w:cs="Calibri"/>
          <w:b/>
          <w:bCs/>
          <w:sz w:val="24"/>
          <w:szCs w:val="24"/>
        </w:rPr>
        <w:t>Affidabilità, manutenibilità e connettività BMS</w:t>
      </w:r>
    </w:p>
    <w:p w14:paraId="42C30E95" w14:textId="7777777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  <w:r w:rsidRPr="00F96BD8">
        <w:rPr>
          <w:rFonts w:ascii="Barlow" w:eastAsia="Calibri" w:hAnsi="Barlow" w:cs="Calibri"/>
          <w:b/>
          <w:bCs/>
          <w:sz w:val="24"/>
          <w:szCs w:val="24"/>
        </w:rPr>
        <w:t>TVD</w:t>
      </w:r>
      <w:r w:rsidRPr="00F96BD8">
        <w:rPr>
          <w:rFonts w:ascii="Barlow" w:eastAsia="Calibri" w:hAnsi="Barlow" w:cs="Calibri"/>
          <w:sz w:val="24"/>
          <w:szCs w:val="24"/>
        </w:rPr>
        <w:t xml:space="preserve"> è pensata per ridurre al minimo i tempi di fermo impianto e semplificare la gestione quotidiana. La </w:t>
      </w:r>
      <w:r w:rsidRPr="00EC4AD9">
        <w:rPr>
          <w:rFonts w:ascii="Barlow" w:eastAsia="Calibri" w:hAnsi="Barlow" w:cs="Calibri"/>
          <w:b/>
          <w:bCs/>
          <w:sz w:val="24"/>
          <w:szCs w:val="24"/>
        </w:rPr>
        <w:t>facile accessibilità</w:t>
      </w:r>
      <w:r w:rsidRPr="00F96BD8">
        <w:rPr>
          <w:rFonts w:ascii="Barlow" w:eastAsia="Calibri" w:hAnsi="Barlow" w:cs="Calibri"/>
          <w:sz w:val="24"/>
          <w:szCs w:val="24"/>
        </w:rPr>
        <w:t xml:space="preserve"> di tutti i componenti principali rende gli interventi di manutenzione più rapidi e meno invasivi, mentre la </w:t>
      </w:r>
      <w:r w:rsidRPr="00EC4AD9">
        <w:rPr>
          <w:rFonts w:ascii="Barlow" w:eastAsia="Calibri" w:hAnsi="Barlow" w:cs="Calibri"/>
          <w:b/>
          <w:bCs/>
          <w:sz w:val="24"/>
          <w:szCs w:val="24"/>
        </w:rPr>
        <w:t xml:space="preserve">funzione di Fast </w:t>
      </w:r>
      <w:proofErr w:type="spellStart"/>
      <w:r w:rsidRPr="00EC4AD9">
        <w:rPr>
          <w:rFonts w:ascii="Barlow" w:eastAsia="Calibri" w:hAnsi="Barlow" w:cs="Calibri"/>
          <w:b/>
          <w:bCs/>
          <w:sz w:val="24"/>
          <w:szCs w:val="24"/>
        </w:rPr>
        <w:t>Restart</w:t>
      </w:r>
      <w:proofErr w:type="spellEnd"/>
      <w:r w:rsidRPr="00F96BD8">
        <w:rPr>
          <w:rFonts w:ascii="Barlow" w:eastAsia="Calibri" w:hAnsi="Barlow" w:cs="Calibri"/>
          <w:sz w:val="24"/>
          <w:szCs w:val="24"/>
        </w:rPr>
        <w:t xml:space="preserve"> garantisce </w:t>
      </w:r>
      <w:r w:rsidRPr="00F96BD8">
        <w:rPr>
          <w:rFonts w:ascii="Barlow" w:eastAsia="Calibri" w:hAnsi="Barlow" w:cs="Calibri"/>
          <w:sz w:val="24"/>
          <w:szCs w:val="24"/>
        </w:rPr>
        <w:lastRenderedPageBreak/>
        <w:t>la ripartenza immediata dell'unità in caso di disservizio sull'alimentazione principale, limitando l'impatto di eventuali interruzioni sulla continuità di esercizio.</w:t>
      </w:r>
    </w:p>
    <w:p w14:paraId="3F96E346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</w:p>
    <w:p w14:paraId="50134611" w14:textId="39E5CA83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>Grazie all'</w:t>
      </w:r>
      <w:r w:rsidRPr="00EC4AD9">
        <w:rPr>
          <w:rFonts w:ascii="Barlow" w:eastAsia="Calibri" w:hAnsi="Barlow" w:cs="Calibri"/>
          <w:b/>
          <w:bCs/>
          <w:sz w:val="24"/>
          <w:szCs w:val="24"/>
        </w:rPr>
        <w:t>interfaccia di comunicazione multiprotocollo</w:t>
      </w:r>
      <w:r w:rsidRPr="00F96BD8">
        <w:rPr>
          <w:rFonts w:ascii="Barlow" w:eastAsia="Calibri" w:hAnsi="Barlow" w:cs="Calibri"/>
          <w:sz w:val="24"/>
          <w:szCs w:val="24"/>
        </w:rPr>
        <w:t xml:space="preserve">,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TVD</w:t>
      </w:r>
      <w:r w:rsidRPr="00F96BD8">
        <w:rPr>
          <w:rFonts w:ascii="Barlow" w:eastAsia="Calibri" w:hAnsi="Barlow" w:cs="Calibri"/>
          <w:sz w:val="24"/>
          <w:szCs w:val="24"/>
        </w:rPr>
        <w:t xml:space="preserve"> si integra facilmente con i sistemi di Building Management System (BMS) esistenti, semplificando il monitoraggio e il controllo dell'unità all'interno dell'impianto. Il sistema di monitoraggio e limitazione della massima potenza assorbita consente inoltre di tenere sotto controllo i consumi in tempo reale, offrendo un ulteriore strumento di gestione dell'efficienza energetica.</w:t>
      </w:r>
    </w:p>
    <w:p w14:paraId="1948E1B7" w14:textId="7777777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</w:p>
    <w:p w14:paraId="0E73CF26" w14:textId="7777777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 xml:space="preserve">A completare il quadro, la valvola di espansione elettronica, i ventilatori assiali EC e i materiali resistenti alla corrosione contribuiscono ad allungare la vita utile dell'unità anche nei contesti più esigenti. La gamma può inoltre essere configurata secondo le specifiche esigenze impiantistiche grazie a una serie di opzioni dedicate: kit di pompaggio singolo o doppio in rotazione temporale, kit </w:t>
      </w:r>
      <w:proofErr w:type="spellStart"/>
      <w:r w:rsidRPr="00F96BD8">
        <w:rPr>
          <w:rFonts w:ascii="Barlow" w:eastAsia="Calibri" w:hAnsi="Barlow" w:cs="Calibri"/>
          <w:sz w:val="24"/>
          <w:szCs w:val="24"/>
        </w:rPr>
        <w:t>Glycol</w:t>
      </w:r>
      <w:proofErr w:type="spellEnd"/>
      <w:r w:rsidRPr="00F96BD8">
        <w:rPr>
          <w:rFonts w:ascii="Barlow" w:eastAsia="Calibri" w:hAnsi="Barlow" w:cs="Calibri"/>
          <w:sz w:val="24"/>
          <w:szCs w:val="24"/>
        </w:rPr>
        <w:t>-Free, doppia alimentazione elettrica e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 xml:space="preserve"> </w:t>
      </w:r>
      <w:r w:rsidRPr="00F96BD8">
        <w:rPr>
          <w:rFonts w:ascii="Barlow" w:eastAsia="Calibri" w:hAnsi="Barlow" w:cs="Calibri"/>
          <w:sz w:val="24"/>
          <w:szCs w:val="24"/>
        </w:rPr>
        <w:t>filtro attivo per la riduzione della distorsione armonica (</w:t>
      </w:r>
      <w:proofErr w:type="spellStart"/>
      <w:r w:rsidRPr="00F96BD8">
        <w:rPr>
          <w:rFonts w:ascii="Barlow" w:eastAsia="Calibri" w:hAnsi="Barlow" w:cs="Calibri"/>
          <w:sz w:val="24"/>
          <w:szCs w:val="24"/>
        </w:rPr>
        <w:t>THDi</w:t>
      </w:r>
      <w:proofErr w:type="spellEnd"/>
      <w:r w:rsidRPr="00F96BD8">
        <w:rPr>
          <w:rFonts w:ascii="Barlow" w:eastAsia="Calibri" w:hAnsi="Barlow" w:cs="Calibri"/>
          <w:sz w:val="24"/>
          <w:szCs w:val="24"/>
        </w:rPr>
        <w:t xml:space="preserve">/v &lt;5%). </w:t>
      </w:r>
      <w:r w:rsidRPr="00EC4AD9">
        <w:rPr>
          <w:rFonts w:ascii="Barlow" w:eastAsia="Calibri" w:hAnsi="Barlow" w:cs="Calibri"/>
          <w:b/>
          <w:bCs/>
          <w:sz w:val="24"/>
          <w:szCs w:val="24"/>
        </w:rPr>
        <w:t>L'unità rientra in Classe A</w:t>
      </w:r>
      <w:r w:rsidRPr="00F96BD8">
        <w:rPr>
          <w:rFonts w:ascii="Barlow" w:eastAsia="Calibri" w:hAnsi="Barlow" w:cs="Calibri"/>
          <w:sz w:val="24"/>
          <w:szCs w:val="24"/>
        </w:rPr>
        <w:t>.</w:t>
      </w:r>
    </w:p>
    <w:p w14:paraId="6FE87493" w14:textId="77777777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</w:p>
    <w:p w14:paraId="0BDE9789" w14:textId="7FC97DB5" w:rsid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 xml:space="preserve">Con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TVD</w:t>
      </w:r>
      <w:r w:rsidRPr="00F96BD8">
        <w:rPr>
          <w:rFonts w:ascii="Barlow" w:eastAsia="Calibri" w:hAnsi="Barlow" w:cs="Calibri"/>
          <w:sz w:val="24"/>
          <w:szCs w:val="24"/>
        </w:rPr>
        <w:t xml:space="preserve">, 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>HiRef</w:t>
      </w:r>
      <w:r w:rsidRPr="00F96BD8">
        <w:rPr>
          <w:rFonts w:ascii="Barlow" w:eastAsia="Calibri" w:hAnsi="Barlow" w:cs="Calibri"/>
          <w:sz w:val="24"/>
          <w:szCs w:val="24"/>
        </w:rPr>
        <w:t xml:space="preserve"> conferma la propria capacità di seguire l'evoluzione tecnologica del mercato, proponendo una soluzione progettata per coniugare efficienza, affidabilità e sostenibilità, in linea con l'impegno dell'azienda verso l'innovazione continua a supporto tecnico di progettisti e installatori.</w:t>
      </w:r>
    </w:p>
    <w:p w14:paraId="2D8253EC" w14:textId="7777777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7568151E" w14:textId="77777777" w:rsidR="00F96BD8" w:rsidRPr="00F96BD8" w:rsidRDefault="00F96BD8" w:rsidP="00F96BD8">
      <w:pPr>
        <w:pBdr>
          <w:top w:val="single" w:sz="6" w:space="4" w:color="999999"/>
        </w:pBdr>
        <w:spacing w:before="100" w:beforeAutospacing="1" w:after="100" w:afterAutospacing="1"/>
        <w:contextualSpacing/>
        <w:rPr>
          <w:rFonts w:ascii="Barlow" w:hAnsi="Barlow"/>
          <w:sz w:val="24"/>
          <w:szCs w:val="24"/>
        </w:rPr>
      </w:pPr>
      <w:r w:rsidRPr="00F96BD8">
        <w:rPr>
          <w:rFonts w:ascii="Barlow" w:eastAsia="Calibri" w:hAnsi="Barlow" w:cs="Calibri"/>
          <w:sz w:val="24"/>
          <w:szCs w:val="24"/>
        </w:rPr>
        <w:t xml:space="preserve"> </w:t>
      </w:r>
    </w:p>
    <w:p w14:paraId="34FF2280" w14:textId="0297A5BC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  <w:r>
        <w:rPr>
          <w:rFonts w:ascii="Barlow" w:eastAsia="Calibri" w:hAnsi="Barlow" w:cs="Calibri"/>
          <w:b/>
          <w:bCs/>
          <w:sz w:val="24"/>
          <w:szCs w:val="24"/>
        </w:rPr>
        <w:t>IMMAGINI DISPONIBILI</w:t>
      </w:r>
      <w:r w:rsidRPr="00F96BD8">
        <w:rPr>
          <w:rFonts w:ascii="Barlow" w:eastAsia="Calibri" w:hAnsi="Barlow" w:cs="Calibri"/>
          <w:b/>
          <w:bCs/>
          <w:sz w:val="24"/>
          <w:szCs w:val="24"/>
        </w:rPr>
        <w:t xml:space="preserve"> </w:t>
      </w:r>
    </w:p>
    <w:p w14:paraId="3ADB530E" w14:textId="7777777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eastAsia="Calibri" w:hAnsi="Barlow" w:cs="Calibri"/>
          <w:b/>
          <w:bCs/>
          <w:sz w:val="24"/>
          <w:szCs w:val="24"/>
        </w:rPr>
      </w:pPr>
      <w:r w:rsidRPr="00F96BD8">
        <w:rPr>
          <w:rFonts w:ascii="Barlow" w:hAnsi="Barlow"/>
          <w:noProof/>
          <w:sz w:val="24"/>
          <w:szCs w:val="24"/>
        </w:rPr>
        <w:drawing>
          <wp:inline distT="0" distB="0" distL="0" distR="0" wp14:anchorId="4834F973" wp14:editId="04901E8C">
            <wp:extent cx="5731510" cy="4126865"/>
            <wp:effectExtent l="0" t="0" r="2540" b="0"/>
            <wp:docPr id="1604969219" name="Immagine 3" descr="Immagine che contiene elettronica, macchina, testo, compute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69219" name="Immagine 3" descr="Immagine che contiene elettronica, macchina, testo, computer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E0FAA" w14:textId="7777777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F96BD8">
        <w:rPr>
          <w:rFonts w:ascii="Barlow" w:hAnsi="Barlow"/>
          <w:noProof/>
          <w:sz w:val="24"/>
          <w:szCs w:val="24"/>
        </w:rPr>
        <w:lastRenderedPageBreak/>
        <w:drawing>
          <wp:inline distT="0" distB="0" distL="0" distR="0" wp14:anchorId="01D0333D" wp14:editId="7757F648">
            <wp:extent cx="5731510" cy="4126865"/>
            <wp:effectExtent l="0" t="0" r="2540" b="0"/>
            <wp:docPr id="191551424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BD8">
        <w:rPr>
          <w:rFonts w:ascii="Barlow" w:hAnsi="Barlow"/>
          <w:noProof/>
          <w:sz w:val="24"/>
          <w:szCs w:val="24"/>
        </w:rPr>
        <w:t xml:space="preserve"> </w:t>
      </w:r>
    </w:p>
    <w:p w14:paraId="357B9C7D" w14:textId="77777777" w:rsidR="00F96BD8" w:rsidRPr="00F96BD8" w:rsidRDefault="00F96BD8" w:rsidP="00F96BD8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F96BD8">
        <w:rPr>
          <w:rFonts w:ascii="Barlow" w:hAnsi="Barlow"/>
          <w:noProof/>
          <w:sz w:val="24"/>
          <w:szCs w:val="24"/>
        </w:rPr>
        <w:drawing>
          <wp:inline distT="0" distB="0" distL="0" distR="0" wp14:anchorId="5C34E662" wp14:editId="1C07EE91">
            <wp:extent cx="5731510" cy="4126865"/>
            <wp:effectExtent l="0" t="0" r="2540" b="0"/>
            <wp:docPr id="439423872" name="Immagine 1" descr="Immagine che contiene ponte, aria aperta, treno, not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23872" name="Immagine 1" descr="Immagine che contiene ponte, aria aperta, treno, nott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0C06C" w14:textId="77777777" w:rsidR="0017221C" w:rsidRPr="00F96BD8" w:rsidRDefault="0017221C" w:rsidP="00F96BD8">
      <w:pPr>
        <w:spacing w:before="100" w:beforeAutospacing="1" w:after="100" w:afterAutospacing="1"/>
        <w:contextualSpacing/>
        <w:rPr>
          <w:rFonts w:ascii="Barlow" w:hAnsi="Barlow"/>
          <w:sz w:val="24"/>
          <w:szCs w:val="24"/>
        </w:rPr>
      </w:pPr>
    </w:p>
    <w:sectPr w:rsidR="0017221C" w:rsidRPr="00F96BD8" w:rsidSect="00F96BD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8D709" w14:textId="77777777" w:rsidR="00FD1E14" w:rsidRDefault="00FD1E14" w:rsidP="00F96BD8">
      <w:r>
        <w:separator/>
      </w:r>
    </w:p>
  </w:endnote>
  <w:endnote w:type="continuationSeparator" w:id="0">
    <w:p w14:paraId="50B99B3D" w14:textId="77777777" w:rsidR="00FD1E14" w:rsidRDefault="00FD1E14" w:rsidP="00F9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F656" w14:textId="34384B0E" w:rsidR="00F96BD8" w:rsidRPr="00F96BD8" w:rsidRDefault="00F96BD8" w:rsidP="00F96BD8">
    <w:pPr>
      <w:rPr>
        <w:rFonts w:ascii="Barlow" w:hAnsi="Barlow"/>
        <w:b/>
        <w:bCs/>
        <w:color w:val="A6A6A6" w:themeColor="background1" w:themeShade="A6"/>
      </w:rPr>
    </w:pPr>
    <w:r w:rsidRPr="00F96BD8">
      <w:rPr>
        <w:rFonts w:ascii="Barlow" w:hAnsi="Barlow"/>
        <w:b/>
        <w:bCs/>
        <w:color w:val="A6A6A6" w:themeColor="background1" w:themeShade="A6"/>
      </w:rPr>
      <w:t xml:space="preserve">Contatti: </w:t>
    </w:r>
  </w:p>
  <w:p w14:paraId="26AB4DBB" w14:textId="560905B3" w:rsidR="00F96BD8" w:rsidRPr="00F96BD8" w:rsidRDefault="00F96BD8" w:rsidP="00F96BD8">
    <w:pPr>
      <w:rPr>
        <w:rFonts w:ascii="Barlow" w:hAnsi="Barlow"/>
        <w:b/>
        <w:bCs/>
        <w:color w:val="A6A6A6" w:themeColor="background1" w:themeShade="A6"/>
      </w:rPr>
    </w:pPr>
    <w:r w:rsidRPr="00F96BD8">
      <w:rPr>
        <w:rFonts w:ascii="Barlow" w:hAnsi="Barlow"/>
        <w:b/>
        <w:bCs/>
        <w:color w:val="A6A6A6" w:themeColor="background1" w:themeShade="A6"/>
      </w:rPr>
      <w:t>HiRef S.p.a. - Viale Spagna 31/33 - 35020 Tribano (PD) -</w:t>
    </w:r>
    <w:hyperlink r:id="rId1" w:history="1">
      <w:r w:rsidRPr="00F96BD8">
        <w:rPr>
          <w:rStyle w:val="Collegamentoipertestuale"/>
          <w:rFonts w:ascii="Barlow" w:eastAsiaTheme="majorEastAsia" w:hAnsi="Barlow"/>
          <w:b/>
          <w:bCs/>
          <w:color w:val="A6A6A6" w:themeColor="background1" w:themeShade="A6"/>
        </w:rPr>
        <w:t>marketing@hiref.it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F922" w14:textId="77777777" w:rsidR="00FD1E14" w:rsidRDefault="00FD1E14" w:rsidP="00F96BD8">
      <w:r>
        <w:separator/>
      </w:r>
    </w:p>
  </w:footnote>
  <w:footnote w:type="continuationSeparator" w:id="0">
    <w:p w14:paraId="2A8DBAC1" w14:textId="77777777" w:rsidR="00FD1E14" w:rsidRDefault="00FD1E14" w:rsidP="00F96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9B2F" w14:textId="77777777" w:rsidR="00F96BD8" w:rsidRDefault="00F96BD8" w:rsidP="00F96BD8">
    <w:pPr>
      <w:pStyle w:val="Intestazione"/>
      <w:ind w:left="-142"/>
      <w:rPr>
        <w:color w:val="A6A6A6" w:themeColor="background1" w:themeShade="A6"/>
      </w:rPr>
    </w:pPr>
    <w:r>
      <w:rPr>
        <w:noProof/>
      </w:rPr>
      <w:drawing>
        <wp:inline distT="0" distB="0" distL="0" distR="0" wp14:anchorId="51C15448" wp14:editId="64ADFB0A">
          <wp:extent cx="1564063" cy="572756"/>
          <wp:effectExtent l="0" t="0" r="0" b="0"/>
          <wp:docPr id="3" name="Immagine 3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72" cy="590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98AABC" w14:textId="77777777" w:rsidR="00F96BD8" w:rsidRPr="00F96BD8" w:rsidRDefault="00F96BD8" w:rsidP="00F96BD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D8"/>
    <w:rsid w:val="0017221C"/>
    <w:rsid w:val="00173BB5"/>
    <w:rsid w:val="002001E7"/>
    <w:rsid w:val="00222451"/>
    <w:rsid w:val="00334584"/>
    <w:rsid w:val="003C3C1D"/>
    <w:rsid w:val="00D17C5D"/>
    <w:rsid w:val="00EA0A4E"/>
    <w:rsid w:val="00EC4AD9"/>
    <w:rsid w:val="00F96BD8"/>
    <w:rsid w:val="00FD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951A18"/>
  <w15:chartTrackingRefBased/>
  <w15:docId w15:val="{DC721C9A-9FFA-E64E-B007-34ECC48D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6BD8"/>
    <w:rPr>
      <w:rFonts w:ascii="Times New Roman" w:eastAsia="Times New Roman" w:hAnsi="Times New Roman"/>
      <w:color w:val="auto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6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6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6B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6B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6B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6BD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6BD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6BD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6BD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6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6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6BD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6BD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6BD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6B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6B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6B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6BD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6B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96BD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6BD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6BD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6BD8"/>
    <w:pPr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6B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6BD8"/>
    <w:pPr>
      <w:ind w:left="720"/>
      <w:contextualSpacing/>
    </w:pPr>
    <w:rPr>
      <w:rFonts w:ascii="Barlow" w:eastAsiaTheme="minorHAnsi" w:hAnsi="Barlow"/>
      <w:color w:val="1B1C1D"/>
      <w:sz w:val="24"/>
      <w:szCs w:val="24"/>
      <w:lang w:eastAsia="en-US"/>
    </w:rPr>
  </w:style>
  <w:style w:type="character" w:styleId="Enfasiintensa">
    <w:name w:val="Intense Emphasis"/>
    <w:basedOn w:val="Carpredefinitoparagrafo"/>
    <w:uiPriority w:val="21"/>
    <w:qFormat/>
    <w:rsid w:val="00F96BD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6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6BD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6BD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96B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BD8"/>
    <w:rPr>
      <w:rFonts w:ascii="Times New Roman" w:eastAsia="Times New Roman" w:hAnsi="Times New Roman"/>
      <w:color w:val="auto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96B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BD8"/>
    <w:rPr>
      <w:rFonts w:ascii="Times New Roman" w:eastAsia="Times New Roman" w:hAnsi="Times New Roman"/>
      <w:color w:val="auto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96BD8"/>
    <w:rPr>
      <w:color w:val="000000" w:themeColor="text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eting@hire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2026-09-03T13:57:00Z</dcterms:created>
  <dcterms:modified xsi:type="dcterms:W3CDTF">2026-09-03T14:19:00Z</dcterms:modified>
</cp:coreProperties>
</file>