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7EAC3" w14:textId="67300541" w:rsidR="00216A24" w:rsidRPr="00216A24" w:rsidRDefault="00216A24" w:rsidP="00216A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701" w:right="1700"/>
        <w:jc w:val="center"/>
        <w:rPr>
          <w:rFonts w:asciiTheme="majorHAnsi" w:hAnsiTheme="majorHAnsi" w:cstheme="majorHAnsi"/>
          <w:b/>
          <w:bCs/>
        </w:rPr>
      </w:pPr>
      <w:r w:rsidRPr="00216A24">
        <w:rPr>
          <w:rFonts w:asciiTheme="majorHAnsi" w:hAnsiTheme="majorHAnsi" w:cstheme="majorHAnsi"/>
          <w:b/>
          <w:bCs/>
        </w:rPr>
        <w:t>ista presenta</w:t>
      </w:r>
      <w:r w:rsidR="00842C1F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="00842C1F">
        <w:rPr>
          <w:rFonts w:asciiTheme="majorHAnsi" w:hAnsiTheme="majorHAnsi" w:cstheme="majorHAnsi"/>
          <w:b/>
          <w:bCs/>
        </w:rPr>
        <w:t>Sensonic</w:t>
      </w:r>
      <w:proofErr w:type="spellEnd"/>
      <w:r w:rsidR="00842C1F">
        <w:rPr>
          <w:rFonts w:asciiTheme="majorHAnsi" w:hAnsiTheme="majorHAnsi" w:cstheme="majorHAnsi"/>
          <w:b/>
          <w:bCs/>
        </w:rPr>
        <w:t xml:space="preserve"> 3: la nuova gamma di </w:t>
      </w:r>
      <w:r w:rsidRPr="00216A24">
        <w:rPr>
          <w:rFonts w:asciiTheme="majorHAnsi" w:hAnsiTheme="majorHAnsi" w:cstheme="majorHAnsi"/>
          <w:b/>
          <w:bCs/>
        </w:rPr>
        <w:t>contatori</w:t>
      </w:r>
    </w:p>
    <w:p w14:paraId="75761AF8" w14:textId="221DF4F9" w:rsidR="00216A24" w:rsidRPr="00216A24" w:rsidRDefault="00216A24" w:rsidP="00216A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701" w:right="1700"/>
        <w:jc w:val="center"/>
        <w:rPr>
          <w:rFonts w:asciiTheme="majorHAnsi" w:hAnsiTheme="majorHAnsi" w:cstheme="majorHAnsi"/>
          <w:b/>
          <w:bCs/>
        </w:rPr>
      </w:pPr>
      <w:r w:rsidRPr="00216A24">
        <w:rPr>
          <w:rFonts w:asciiTheme="majorHAnsi" w:hAnsiTheme="majorHAnsi" w:cstheme="majorHAnsi"/>
          <w:b/>
          <w:bCs/>
        </w:rPr>
        <w:t>per la</w:t>
      </w:r>
      <w:r w:rsidR="00081DEF">
        <w:rPr>
          <w:rFonts w:asciiTheme="majorHAnsi" w:hAnsiTheme="majorHAnsi" w:cstheme="majorHAnsi"/>
          <w:b/>
          <w:bCs/>
        </w:rPr>
        <w:t xml:space="preserve"> </w:t>
      </w:r>
      <w:r w:rsidRPr="00216A24">
        <w:rPr>
          <w:rFonts w:asciiTheme="majorHAnsi" w:hAnsiTheme="majorHAnsi" w:cstheme="majorHAnsi"/>
          <w:b/>
          <w:bCs/>
        </w:rPr>
        <w:t>misurazione automatica del consumo termico.</w:t>
      </w:r>
      <w:r w:rsidR="00842C1F" w:rsidRPr="00842C1F">
        <w:rPr>
          <w:rFonts w:asciiTheme="majorHAnsi" w:hAnsiTheme="majorHAnsi" w:cstheme="majorHAnsi"/>
          <w:b/>
          <w:bCs/>
        </w:rPr>
        <w:t xml:space="preserve"> </w:t>
      </w:r>
    </w:p>
    <w:p w14:paraId="4EF59E05" w14:textId="77777777" w:rsidR="00216A24" w:rsidRPr="00081DEF" w:rsidRDefault="00216A24" w:rsidP="00216A24">
      <w:pPr>
        <w:jc w:val="both"/>
        <w:rPr>
          <w:rFonts w:asciiTheme="majorHAnsi" w:eastAsia="F0" w:hAnsiTheme="majorHAnsi" w:cstheme="majorHAnsi"/>
          <w:sz w:val="20"/>
          <w:szCs w:val="20"/>
        </w:rPr>
      </w:pPr>
    </w:p>
    <w:p w14:paraId="3FBBFE75" w14:textId="1E6373BD" w:rsidR="00216A24" w:rsidRPr="00081DEF" w:rsidRDefault="00216A24" w:rsidP="00216A24">
      <w:pPr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>sensonic</w:t>
      </w:r>
      <w:proofErr w:type="spellEnd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 xml:space="preserve"> 3 di ista</w:t>
      </w:r>
      <w:r w:rsidRPr="00081DEF">
        <w:rPr>
          <w:rFonts w:asciiTheme="majorHAnsi" w:eastAsia="F0" w:hAnsiTheme="majorHAnsi" w:cstheme="majorHAnsi"/>
          <w:sz w:val="20"/>
          <w:szCs w:val="20"/>
        </w:rPr>
        <w:t xml:space="preserve"> è la soluzione evoluta per tutte le necessità di rilevazione e contabilizzazione </w:t>
      </w:r>
      <w:r w:rsidR="00041382" w:rsidRPr="00081DEF">
        <w:rPr>
          <w:rFonts w:asciiTheme="majorHAnsi" w:eastAsia="F0" w:hAnsiTheme="majorHAnsi" w:cstheme="majorHAnsi"/>
          <w:sz w:val="20"/>
          <w:szCs w:val="20"/>
        </w:rPr>
        <w:t xml:space="preserve">diretta </w:t>
      </w:r>
      <w:r w:rsidRPr="00081DEF">
        <w:rPr>
          <w:rFonts w:asciiTheme="majorHAnsi" w:eastAsia="F0" w:hAnsiTheme="majorHAnsi" w:cstheme="majorHAnsi"/>
          <w:sz w:val="20"/>
          <w:szCs w:val="20"/>
        </w:rPr>
        <w:t xml:space="preserve">del calore, in ambito domestico e commerciale. Grazie alla sua tecnologia digitale orientata al futuro, il contatore </w:t>
      </w:r>
      <w:proofErr w:type="spellStart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>sensonic</w:t>
      </w:r>
      <w:proofErr w:type="spellEnd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 xml:space="preserve"> 3 di ista</w:t>
      </w:r>
      <w:r w:rsidRPr="00081DEF">
        <w:rPr>
          <w:rFonts w:asciiTheme="majorHAnsi" w:eastAsia="F0" w:hAnsiTheme="majorHAnsi" w:cstheme="majorHAnsi"/>
          <w:sz w:val="20"/>
          <w:szCs w:val="20"/>
        </w:rPr>
        <w:t xml:space="preserve"> è il punto di riferimento per i professionisti, i tecnici installatori, gli amministratori e gli utenti.</w:t>
      </w:r>
    </w:p>
    <w:p w14:paraId="0790CB85" w14:textId="77777777" w:rsidR="00216A24" w:rsidRPr="00081DEF" w:rsidRDefault="00216A24" w:rsidP="00216A24">
      <w:pPr>
        <w:jc w:val="both"/>
        <w:rPr>
          <w:rFonts w:asciiTheme="majorHAnsi" w:eastAsia="F0" w:hAnsiTheme="majorHAnsi" w:cstheme="majorHAnsi"/>
          <w:b/>
          <w:bCs/>
          <w:sz w:val="20"/>
          <w:szCs w:val="20"/>
        </w:rPr>
      </w:pPr>
    </w:p>
    <w:p w14:paraId="2A1DA3C6" w14:textId="664BDE01" w:rsidR="00216A24" w:rsidRPr="00081DEF" w:rsidRDefault="00216A24" w:rsidP="00216A24">
      <w:pPr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>sensonic</w:t>
      </w:r>
      <w:proofErr w:type="spellEnd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 xml:space="preserve"> 3 </w:t>
      </w:r>
      <w:r w:rsidRPr="00081DEF">
        <w:rPr>
          <w:rFonts w:asciiTheme="majorHAnsi" w:eastAsia="F0" w:hAnsiTheme="majorHAnsi" w:cstheme="majorHAnsi"/>
          <w:sz w:val="20"/>
          <w:szCs w:val="20"/>
        </w:rPr>
        <w:t>è una linea di contatori precisi, efficienti e affidabili nella misurazione della portata e della temperatura dei fluidi, singola (caldo, freddo) e combinata (caldo/freddo), ai fini della contabilizzazione digitalizzata dei consumi sia nel caso di nuova installazione, sia in sostituzione degli apparecchi obsoleti.</w:t>
      </w:r>
    </w:p>
    <w:p w14:paraId="1AE16D41" w14:textId="77777777" w:rsidR="00216A24" w:rsidRPr="00081DEF" w:rsidRDefault="00216A24" w:rsidP="00216A24">
      <w:pPr>
        <w:jc w:val="both"/>
        <w:rPr>
          <w:rFonts w:asciiTheme="majorHAnsi" w:eastAsia="F0" w:hAnsiTheme="majorHAnsi" w:cstheme="majorHAnsi"/>
          <w:sz w:val="20"/>
          <w:szCs w:val="20"/>
        </w:rPr>
      </w:pPr>
    </w:p>
    <w:p w14:paraId="4E20B187" w14:textId="58DC6A28" w:rsidR="00216A24" w:rsidRPr="00081DEF" w:rsidRDefault="00216A24" w:rsidP="00216A24">
      <w:pPr>
        <w:jc w:val="both"/>
        <w:rPr>
          <w:rFonts w:asciiTheme="majorHAnsi" w:hAnsiTheme="majorHAnsi" w:cstheme="majorHAnsi"/>
          <w:sz w:val="20"/>
          <w:szCs w:val="20"/>
        </w:rPr>
      </w:pPr>
      <w:r w:rsidRPr="00081DEF">
        <w:rPr>
          <w:rFonts w:asciiTheme="majorHAnsi" w:eastAsia="F0" w:hAnsiTheme="majorHAnsi" w:cstheme="majorHAnsi"/>
          <w:sz w:val="20"/>
          <w:szCs w:val="20"/>
        </w:rPr>
        <w:t xml:space="preserve">Semplice da installare in posizione orizzontale o in verticale, </w:t>
      </w:r>
      <w:proofErr w:type="spellStart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>sensonic</w:t>
      </w:r>
      <w:proofErr w:type="spellEnd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 xml:space="preserve"> 3 di ista</w:t>
      </w:r>
      <w:r w:rsidRPr="00081DEF">
        <w:rPr>
          <w:rFonts w:asciiTheme="majorHAnsi" w:eastAsia="F0" w:hAnsiTheme="majorHAnsi" w:cstheme="majorHAnsi"/>
          <w:sz w:val="20"/>
          <w:szCs w:val="20"/>
        </w:rPr>
        <w:t xml:space="preserve"> utilizza sonde di temperatura in platino che garantiscono la massima precisione nella misurazione della differenza di temperatura in mandata e in ritorno. La sofisticata unità di calcolo può essere combinata con diverse tipologie di sensori volumetrici.</w:t>
      </w:r>
    </w:p>
    <w:p w14:paraId="25ADE0EA" w14:textId="77777777" w:rsidR="00216A24" w:rsidRPr="00081DEF" w:rsidRDefault="00216A24" w:rsidP="00216A24">
      <w:pPr>
        <w:jc w:val="both"/>
        <w:rPr>
          <w:rFonts w:asciiTheme="majorHAnsi" w:eastAsia="F0" w:hAnsiTheme="majorHAnsi" w:cstheme="majorHAnsi"/>
          <w:sz w:val="20"/>
          <w:szCs w:val="20"/>
        </w:rPr>
      </w:pPr>
    </w:p>
    <w:p w14:paraId="574776A3" w14:textId="3E426B8E" w:rsidR="00216A24" w:rsidRPr="00081DEF" w:rsidRDefault="00216A24" w:rsidP="00216A24">
      <w:pPr>
        <w:jc w:val="both"/>
        <w:rPr>
          <w:rFonts w:asciiTheme="majorHAnsi" w:hAnsiTheme="majorHAnsi" w:cstheme="majorHAnsi"/>
          <w:sz w:val="20"/>
          <w:szCs w:val="20"/>
        </w:rPr>
      </w:pPr>
      <w:r w:rsidRPr="00081DEF">
        <w:rPr>
          <w:rFonts w:asciiTheme="majorHAnsi" w:eastAsia="F0" w:hAnsiTheme="majorHAnsi" w:cstheme="majorHAnsi"/>
          <w:sz w:val="20"/>
          <w:szCs w:val="20"/>
        </w:rPr>
        <w:t xml:space="preserve">Al proprio interno </w:t>
      </w:r>
      <w:proofErr w:type="spellStart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>sensonic</w:t>
      </w:r>
      <w:proofErr w:type="spellEnd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 xml:space="preserve"> 3 </w:t>
      </w:r>
      <w:r w:rsidRPr="00081DEF">
        <w:rPr>
          <w:rFonts w:asciiTheme="majorHAnsi" w:eastAsia="F0" w:hAnsiTheme="majorHAnsi" w:cstheme="majorHAnsi"/>
          <w:sz w:val="20"/>
          <w:szCs w:val="20"/>
        </w:rPr>
        <w:t xml:space="preserve">cela anche un sistema radio all’avanguardia, concepito per comunicare con regolarità ed esattezza i dati delle letture. Questi saranno elaborati e resi disponibili </w:t>
      </w:r>
      <w:r w:rsidRPr="00081DEF">
        <w:rPr>
          <w:rFonts w:asciiTheme="majorHAnsi" w:eastAsia="F0" w:hAnsiTheme="majorHAnsi" w:cstheme="majorHAnsi"/>
          <w:bCs/>
          <w:sz w:val="20"/>
          <w:szCs w:val="20"/>
        </w:rPr>
        <w:t>agli utenti in forma di</w:t>
      </w:r>
      <w:r w:rsidRPr="00081DEF">
        <w:rPr>
          <w:rFonts w:asciiTheme="majorHAnsi" w:eastAsia="F0" w:hAnsiTheme="majorHAnsi" w:cstheme="majorHAnsi"/>
          <w:bCs/>
          <w:color w:val="000000"/>
          <w:sz w:val="20"/>
          <w:szCs w:val="20"/>
        </w:rPr>
        <w:t xml:space="preserve"> informazioni ampie e dettagliate, attraverso il </w:t>
      </w:r>
      <w:r w:rsidR="00041382" w:rsidRPr="00081DEF">
        <w:rPr>
          <w:rFonts w:asciiTheme="majorHAnsi" w:eastAsia="F0" w:hAnsiTheme="majorHAnsi" w:cstheme="majorHAnsi"/>
          <w:bCs/>
          <w:color w:val="000000"/>
          <w:sz w:val="20"/>
          <w:szCs w:val="20"/>
        </w:rPr>
        <w:t xml:space="preserve">sito web ista </w:t>
      </w:r>
      <w:r w:rsidRPr="00081DEF">
        <w:rPr>
          <w:rFonts w:asciiTheme="majorHAnsi" w:eastAsia="F0" w:hAnsiTheme="majorHAnsi" w:cstheme="majorHAnsi"/>
          <w:bCs/>
          <w:color w:val="000000"/>
          <w:sz w:val="20"/>
          <w:szCs w:val="20"/>
        </w:rPr>
        <w:t>Portale Impianti</w:t>
      </w:r>
      <w:r w:rsidR="00041382" w:rsidRPr="00081DEF">
        <w:rPr>
          <w:rFonts w:asciiTheme="majorHAnsi" w:eastAsia="F0" w:hAnsiTheme="majorHAnsi" w:cstheme="majorHAnsi"/>
          <w:bCs/>
          <w:color w:val="000000"/>
          <w:sz w:val="20"/>
          <w:szCs w:val="20"/>
        </w:rPr>
        <w:t>,</w:t>
      </w:r>
      <w:r w:rsidRPr="00081DEF">
        <w:rPr>
          <w:rFonts w:asciiTheme="majorHAnsi" w:eastAsia="F0" w:hAnsiTheme="majorHAnsi" w:cstheme="majorHAnsi"/>
          <w:bCs/>
          <w:color w:val="000000"/>
          <w:sz w:val="20"/>
          <w:szCs w:val="20"/>
        </w:rPr>
        <w:t xml:space="preserve"> predisposto secondo criteri di massima trasparenza e riservatezza.</w:t>
      </w:r>
    </w:p>
    <w:p w14:paraId="275F503F" w14:textId="77777777" w:rsidR="00216A24" w:rsidRPr="00081DEF" w:rsidRDefault="00216A24" w:rsidP="00216A24">
      <w:pPr>
        <w:jc w:val="both"/>
        <w:rPr>
          <w:rFonts w:asciiTheme="majorHAnsi" w:eastAsia="F0" w:hAnsiTheme="majorHAnsi" w:cstheme="majorHAnsi"/>
          <w:sz w:val="20"/>
          <w:szCs w:val="20"/>
        </w:rPr>
      </w:pPr>
    </w:p>
    <w:p w14:paraId="6B9F28F3" w14:textId="1A9A2A8E" w:rsidR="00216A24" w:rsidRPr="00081DEF" w:rsidRDefault="00216A24" w:rsidP="00216A24">
      <w:pPr>
        <w:jc w:val="both"/>
        <w:rPr>
          <w:rFonts w:asciiTheme="majorHAnsi" w:hAnsiTheme="majorHAnsi" w:cstheme="majorHAnsi"/>
          <w:sz w:val="20"/>
          <w:szCs w:val="20"/>
        </w:rPr>
      </w:pPr>
      <w:r w:rsidRPr="00081DEF">
        <w:rPr>
          <w:rFonts w:asciiTheme="majorHAnsi" w:eastAsia="F0" w:hAnsiTheme="majorHAnsi" w:cstheme="majorHAnsi"/>
          <w:sz w:val="20"/>
          <w:szCs w:val="20"/>
        </w:rPr>
        <w:t xml:space="preserve">Le numerose varianti consentono di scegliere il contatore </w:t>
      </w:r>
      <w:proofErr w:type="spellStart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>sensonic</w:t>
      </w:r>
      <w:proofErr w:type="spellEnd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 xml:space="preserve"> 3</w:t>
      </w:r>
      <w:r w:rsidRPr="00081DEF">
        <w:rPr>
          <w:rFonts w:asciiTheme="majorHAnsi" w:eastAsia="F0" w:hAnsiTheme="majorHAnsi" w:cstheme="majorHAnsi"/>
          <w:sz w:val="20"/>
          <w:szCs w:val="20"/>
        </w:rPr>
        <w:t xml:space="preserve"> più adatto alle diverse applicazioni:</w:t>
      </w:r>
    </w:p>
    <w:p w14:paraId="53F2D508" w14:textId="17D2054D" w:rsidR="00216A24" w:rsidRPr="00081DEF" w:rsidRDefault="00216A24" w:rsidP="00216A24">
      <w:pPr>
        <w:jc w:val="both"/>
        <w:rPr>
          <w:rFonts w:asciiTheme="majorHAnsi" w:hAnsiTheme="majorHAnsi" w:cstheme="majorHAnsi"/>
          <w:sz w:val="20"/>
          <w:szCs w:val="20"/>
        </w:rPr>
      </w:pPr>
      <w:r w:rsidRPr="00081DEF">
        <w:rPr>
          <w:rFonts w:asciiTheme="majorHAnsi" w:eastAsia="F0" w:hAnsiTheme="majorHAnsi" w:cstheme="majorHAnsi"/>
          <w:sz w:val="20"/>
          <w:szCs w:val="20"/>
        </w:rPr>
        <w:t xml:space="preserve">- per </w:t>
      </w:r>
      <w:r w:rsidR="00041382" w:rsidRPr="00081DEF">
        <w:rPr>
          <w:rFonts w:asciiTheme="majorHAnsi" w:eastAsia="F0" w:hAnsiTheme="majorHAnsi" w:cstheme="majorHAnsi"/>
          <w:sz w:val="20"/>
          <w:szCs w:val="20"/>
        </w:rPr>
        <w:t xml:space="preserve">le piccole strutture </w:t>
      </w:r>
      <w:r w:rsidRPr="00081DEF">
        <w:rPr>
          <w:rFonts w:asciiTheme="majorHAnsi" w:eastAsia="F0" w:hAnsiTheme="majorHAnsi" w:cstheme="majorHAnsi"/>
          <w:sz w:val="20"/>
          <w:szCs w:val="20"/>
        </w:rPr>
        <w:t xml:space="preserve">residenziali con flusso nominale </w:t>
      </w:r>
      <w:proofErr w:type="spellStart"/>
      <w:r w:rsidRPr="00081DEF">
        <w:rPr>
          <w:rFonts w:asciiTheme="majorHAnsi" w:eastAsia="F0" w:hAnsiTheme="majorHAnsi" w:cstheme="majorHAnsi"/>
          <w:sz w:val="20"/>
          <w:szCs w:val="20"/>
        </w:rPr>
        <w:t>q</w:t>
      </w:r>
      <w:r w:rsidRPr="00081DEF">
        <w:rPr>
          <w:rFonts w:asciiTheme="majorHAnsi" w:eastAsia="F0" w:hAnsiTheme="majorHAnsi" w:cstheme="majorHAnsi"/>
          <w:sz w:val="20"/>
          <w:szCs w:val="20"/>
          <w:vertAlign w:val="subscript"/>
        </w:rPr>
        <w:t>p</w:t>
      </w:r>
      <w:proofErr w:type="spellEnd"/>
      <w:r w:rsidRPr="00081DEF">
        <w:rPr>
          <w:rFonts w:asciiTheme="majorHAnsi" w:eastAsia="F0" w:hAnsiTheme="majorHAnsi" w:cstheme="majorHAnsi"/>
          <w:sz w:val="20"/>
          <w:szCs w:val="20"/>
        </w:rPr>
        <w:t xml:space="preserve"> </w:t>
      </w:r>
      <w:r w:rsidRPr="00081DEF">
        <w:rPr>
          <w:rFonts w:asciiTheme="majorHAnsi" w:hAnsiTheme="majorHAnsi" w:cstheme="majorHAnsi"/>
          <w:sz w:val="20"/>
          <w:szCs w:val="20"/>
        </w:rPr>
        <w:t>≤</w:t>
      </w:r>
      <w:r w:rsidRPr="00081DEF">
        <w:rPr>
          <w:rFonts w:asciiTheme="majorHAnsi" w:eastAsia="F0" w:hAnsiTheme="majorHAnsi" w:cstheme="majorHAnsi"/>
          <w:sz w:val="20"/>
          <w:szCs w:val="20"/>
        </w:rPr>
        <w:t xml:space="preserve"> 2,5 m</w:t>
      </w:r>
      <w:r w:rsidRPr="00081DEF">
        <w:rPr>
          <w:rFonts w:asciiTheme="majorHAnsi" w:eastAsia="F0" w:hAnsiTheme="majorHAnsi" w:cstheme="majorHAnsi"/>
          <w:sz w:val="20"/>
          <w:szCs w:val="20"/>
          <w:vertAlign w:val="superscript"/>
        </w:rPr>
        <w:t>3</w:t>
      </w:r>
      <w:r w:rsidRPr="00081DEF">
        <w:rPr>
          <w:rFonts w:asciiTheme="majorHAnsi" w:eastAsia="F0" w:hAnsiTheme="majorHAnsi" w:cstheme="majorHAnsi"/>
          <w:sz w:val="20"/>
          <w:szCs w:val="20"/>
        </w:rPr>
        <w:t>/h, i modelli compatti concentrano in un unico apparecchio l’unità di calcolo, il sensore di flusso e la sonda di temperatura;</w:t>
      </w:r>
    </w:p>
    <w:p w14:paraId="25E37D55" w14:textId="0968B9C1" w:rsidR="00216A24" w:rsidRPr="00081DEF" w:rsidRDefault="00216A24" w:rsidP="00216A24">
      <w:pPr>
        <w:jc w:val="both"/>
        <w:rPr>
          <w:rFonts w:asciiTheme="majorHAnsi" w:hAnsiTheme="majorHAnsi" w:cstheme="majorHAnsi"/>
          <w:sz w:val="20"/>
          <w:szCs w:val="20"/>
        </w:rPr>
      </w:pPr>
      <w:r w:rsidRPr="00081DEF">
        <w:rPr>
          <w:rFonts w:asciiTheme="majorHAnsi" w:eastAsia="F0" w:hAnsiTheme="majorHAnsi" w:cstheme="majorHAnsi"/>
          <w:sz w:val="20"/>
          <w:szCs w:val="20"/>
        </w:rPr>
        <w:t xml:space="preserve">- per i grandi complessi edilizi con </w:t>
      </w:r>
      <w:r w:rsidR="00041382" w:rsidRPr="00081DEF">
        <w:rPr>
          <w:rFonts w:asciiTheme="majorHAnsi" w:eastAsia="F0" w:hAnsiTheme="majorHAnsi" w:cstheme="majorHAnsi"/>
          <w:sz w:val="20"/>
          <w:szCs w:val="20"/>
        </w:rPr>
        <w:t xml:space="preserve">flusso nominale </w:t>
      </w:r>
      <w:proofErr w:type="spellStart"/>
      <w:r w:rsidRPr="00081DEF">
        <w:rPr>
          <w:rFonts w:asciiTheme="majorHAnsi" w:eastAsia="F0" w:hAnsiTheme="majorHAnsi" w:cstheme="majorHAnsi"/>
          <w:sz w:val="20"/>
          <w:szCs w:val="20"/>
        </w:rPr>
        <w:t>q</w:t>
      </w:r>
      <w:r w:rsidRPr="00081DEF">
        <w:rPr>
          <w:rFonts w:asciiTheme="majorHAnsi" w:eastAsia="F0" w:hAnsiTheme="majorHAnsi" w:cstheme="majorHAnsi"/>
          <w:sz w:val="20"/>
          <w:szCs w:val="20"/>
          <w:vertAlign w:val="subscript"/>
        </w:rPr>
        <w:t>p</w:t>
      </w:r>
      <w:proofErr w:type="spellEnd"/>
      <w:r w:rsidRPr="00081DEF">
        <w:rPr>
          <w:rFonts w:asciiTheme="majorHAnsi" w:eastAsia="F0" w:hAnsiTheme="majorHAnsi" w:cstheme="majorHAnsi"/>
          <w:sz w:val="20"/>
          <w:szCs w:val="20"/>
        </w:rPr>
        <w:t xml:space="preserve"> </w:t>
      </w:r>
      <w:r w:rsidRPr="00081DEF">
        <w:rPr>
          <w:rFonts w:asciiTheme="majorHAnsi" w:hAnsiTheme="majorHAnsi" w:cstheme="majorHAnsi"/>
          <w:sz w:val="20"/>
          <w:szCs w:val="20"/>
        </w:rPr>
        <w:t>≤</w:t>
      </w:r>
      <w:r w:rsidRPr="00081DEF">
        <w:rPr>
          <w:rFonts w:asciiTheme="majorHAnsi" w:eastAsia="F0" w:hAnsiTheme="majorHAnsi" w:cstheme="majorHAnsi"/>
          <w:sz w:val="20"/>
          <w:szCs w:val="20"/>
        </w:rPr>
        <w:t xml:space="preserve"> 1.000 m</w:t>
      </w:r>
      <w:r w:rsidRPr="00081DEF">
        <w:rPr>
          <w:rFonts w:asciiTheme="majorHAnsi" w:eastAsia="F0" w:hAnsiTheme="majorHAnsi" w:cstheme="majorHAnsi"/>
          <w:sz w:val="20"/>
          <w:szCs w:val="20"/>
          <w:vertAlign w:val="superscript"/>
        </w:rPr>
        <w:t>3</w:t>
      </w:r>
      <w:r w:rsidRPr="00081DEF">
        <w:rPr>
          <w:rFonts w:asciiTheme="majorHAnsi" w:eastAsia="F0" w:hAnsiTheme="majorHAnsi" w:cstheme="majorHAnsi"/>
          <w:sz w:val="20"/>
          <w:szCs w:val="20"/>
        </w:rPr>
        <w:t xml:space="preserve">/h, i modelli combinati dispongono di unità di calcolo, sensore di flusso (a ultrasuoni o </w:t>
      </w:r>
      <w:proofErr w:type="spellStart"/>
      <w:r w:rsidRPr="00081DEF">
        <w:rPr>
          <w:rFonts w:asciiTheme="majorHAnsi" w:eastAsia="F0" w:hAnsiTheme="majorHAnsi" w:cstheme="majorHAnsi"/>
          <w:sz w:val="20"/>
          <w:szCs w:val="20"/>
        </w:rPr>
        <w:t>Woltman</w:t>
      </w:r>
      <w:proofErr w:type="spellEnd"/>
      <w:r w:rsidRPr="00081DEF">
        <w:rPr>
          <w:rFonts w:asciiTheme="majorHAnsi" w:eastAsia="F0" w:hAnsiTheme="majorHAnsi" w:cstheme="majorHAnsi"/>
          <w:sz w:val="20"/>
          <w:szCs w:val="20"/>
        </w:rPr>
        <w:t>) e di una coppia di sonde di temperatura.</w:t>
      </w:r>
    </w:p>
    <w:p w14:paraId="350A3272" w14:textId="77777777" w:rsidR="00216A24" w:rsidRPr="00081DEF" w:rsidRDefault="00216A24" w:rsidP="00216A24">
      <w:pPr>
        <w:jc w:val="both"/>
        <w:rPr>
          <w:rFonts w:asciiTheme="majorHAnsi" w:eastAsia="F0" w:hAnsiTheme="majorHAnsi" w:cstheme="majorHAnsi"/>
          <w:sz w:val="20"/>
          <w:szCs w:val="20"/>
        </w:rPr>
      </w:pPr>
    </w:p>
    <w:p w14:paraId="234BEF29" w14:textId="0E963F61" w:rsidR="00216A24" w:rsidRPr="00081DEF" w:rsidRDefault="00216A24" w:rsidP="00216A24">
      <w:pPr>
        <w:jc w:val="both"/>
        <w:rPr>
          <w:rFonts w:asciiTheme="majorHAnsi" w:hAnsiTheme="majorHAnsi" w:cstheme="majorHAnsi"/>
          <w:sz w:val="20"/>
          <w:szCs w:val="20"/>
        </w:rPr>
      </w:pPr>
      <w:r w:rsidRPr="00081DEF">
        <w:rPr>
          <w:rFonts w:asciiTheme="majorHAnsi" w:eastAsia="F0" w:hAnsiTheme="majorHAnsi" w:cstheme="majorHAnsi"/>
          <w:sz w:val="20"/>
          <w:szCs w:val="20"/>
        </w:rPr>
        <w:t xml:space="preserve">L’interfaccia radio integrata è già allineata ai nuovi requisiti normativi, in particolare all’obbligo di lettura da remoto imposto dalla Direttiva Europea </w:t>
      </w:r>
      <w:r w:rsidRPr="00081DEF">
        <w:rPr>
          <w:rFonts w:asciiTheme="majorHAnsi" w:eastAsia="F0" w:hAnsiTheme="majorHAnsi" w:cstheme="majorHAnsi"/>
          <w:bCs/>
          <w:sz w:val="20"/>
          <w:szCs w:val="20"/>
        </w:rPr>
        <w:t xml:space="preserve">EED 2.0 </w:t>
      </w:r>
      <w:r w:rsidRPr="00081DEF">
        <w:rPr>
          <w:rFonts w:asciiTheme="majorHAnsi" w:eastAsia="F0" w:hAnsiTheme="majorHAnsi" w:cstheme="majorHAnsi"/>
          <w:sz w:val="20"/>
          <w:szCs w:val="20"/>
        </w:rPr>
        <w:t>sull’efficienza energetica che, dall’ottobre 2020, prevede anche la comunicazione delle informazioni sui consumi e l’emissione di bollette dettagliate.</w:t>
      </w:r>
    </w:p>
    <w:p w14:paraId="617DF739" w14:textId="77777777" w:rsidR="00216A24" w:rsidRPr="00081DEF" w:rsidRDefault="00216A24" w:rsidP="00216A24">
      <w:pPr>
        <w:jc w:val="both"/>
        <w:rPr>
          <w:rFonts w:asciiTheme="majorHAnsi" w:eastAsia="F0" w:hAnsiTheme="majorHAnsi" w:cstheme="majorHAnsi"/>
          <w:sz w:val="20"/>
          <w:szCs w:val="20"/>
        </w:rPr>
      </w:pPr>
    </w:p>
    <w:p w14:paraId="0A34D04D" w14:textId="77777777" w:rsidR="00081DEF" w:rsidRDefault="00216A24" w:rsidP="00216A24">
      <w:pPr>
        <w:jc w:val="both"/>
        <w:rPr>
          <w:rFonts w:asciiTheme="majorHAnsi" w:eastAsia="F0" w:hAnsiTheme="majorHAnsi" w:cstheme="majorHAnsi"/>
          <w:sz w:val="20"/>
          <w:szCs w:val="20"/>
        </w:rPr>
      </w:pPr>
      <w:r w:rsidRPr="00081DEF">
        <w:rPr>
          <w:rFonts w:asciiTheme="majorHAnsi" w:eastAsia="F0" w:hAnsiTheme="majorHAnsi" w:cstheme="majorHAnsi"/>
          <w:sz w:val="20"/>
          <w:szCs w:val="20"/>
        </w:rPr>
        <w:t xml:space="preserve">Le prestazioni dei contatori della gamma </w:t>
      </w:r>
      <w:proofErr w:type="spellStart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>sensonic</w:t>
      </w:r>
      <w:proofErr w:type="spellEnd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 xml:space="preserve"> 3 di ista</w:t>
      </w:r>
      <w:r w:rsidRPr="00081DEF">
        <w:rPr>
          <w:rFonts w:asciiTheme="majorHAnsi" w:eastAsia="F0" w:hAnsiTheme="majorHAnsi" w:cstheme="majorHAnsi"/>
          <w:sz w:val="20"/>
          <w:szCs w:val="20"/>
        </w:rPr>
        <w:t xml:space="preserve"> si integrano alla perfezione con il servizio offerto dal </w:t>
      </w:r>
      <w:r w:rsidR="00041382" w:rsidRPr="00081DEF">
        <w:rPr>
          <w:rFonts w:asciiTheme="majorHAnsi" w:eastAsia="F0" w:hAnsiTheme="majorHAnsi" w:cstheme="majorHAnsi"/>
          <w:sz w:val="20"/>
          <w:szCs w:val="20"/>
        </w:rPr>
        <w:t xml:space="preserve">sito web ista </w:t>
      </w:r>
      <w:r w:rsidRPr="00081DEF">
        <w:rPr>
          <w:rFonts w:asciiTheme="majorHAnsi" w:eastAsia="F0" w:hAnsiTheme="majorHAnsi" w:cstheme="majorHAnsi"/>
          <w:sz w:val="20"/>
          <w:szCs w:val="20"/>
        </w:rPr>
        <w:t>Portale Impianti. Adempiendo a tutti i requisiti di legge, la lettura da remoto avviene in automatico a scadenze precise, a vantaggio di una rendicontazione attendibile e puntuale dei consumi.</w:t>
      </w:r>
      <w:r w:rsidR="00081DEF">
        <w:rPr>
          <w:rFonts w:asciiTheme="majorHAnsi" w:eastAsia="F0" w:hAnsiTheme="majorHAnsi" w:cstheme="majorHAnsi"/>
          <w:sz w:val="20"/>
          <w:szCs w:val="20"/>
        </w:rPr>
        <w:t xml:space="preserve"> </w:t>
      </w:r>
    </w:p>
    <w:p w14:paraId="54A6A3A9" w14:textId="77777777" w:rsidR="00081DEF" w:rsidRDefault="00081DEF" w:rsidP="00216A24">
      <w:pPr>
        <w:jc w:val="both"/>
        <w:rPr>
          <w:rFonts w:asciiTheme="majorHAnsi" w:eastAsia="F0" w:hAnsiTheme="majorHAnsi" w:cstheme="majorHAnsi"/>
          <w:sz w:val="20"/>
          <w:szCs w:val="20"/>
        </w:rPr>
      </w:pPr>
    </w:p>
    <w:p w14:paraId="57C9C281" w14:textId="758D9C00" w:rsidR="00216A24" w:rsidRPr="00081DEF" w:rsidRDefault="00216A24" w:rsidP="00216A24">
      <w:pPr>
        <w:jc w:val="both"/>
        <w:rPr>
          <w:rFonts w:asciiTheme="majorHAnsi" w:hAnsiTheme="majorHAnsi" w:cstheme="majorHAnsi"/>
          <w:sz w:val="20"/>
          <w:szCs w:val="20"/>
        </w:rPr>
      </w:pPr>
      <w:r w:rsidRPr="00081DEF">
        <w:rPr>
          <w:rFonts w:asciiTheme="majorHAnsi" w:eastAsia="F0" w:hAnsiTheme="majorHAnsi" w:cstheme="majorHAnsi"/>
          <w:sz w:val="20"/>
          <w:szCs w:val="20"/>
        </w:rPr>
        <w:t xml:space="preserve">Oltre a consentire il controllo periodico delle spese per la climatizzazione, in un formato digitale semplice e accessibile, il Portale Impianti mette a disposizione ulteriori funzionalità per la comparazione dei </w:t>
      </w:r>
      <w:r w:rsidR="00041382" w:rsidRPr="00081DEF">
        <w:rPr>
          <w:rFonts w:asciiTheme="majorHAnsi" w:eastAsia="F0" w:hAnsiTheme="majorHAnsi" w:cstheme="majorHAnsi"/>
          <w:sz w:val="20"/>
          <w:szCs w:val="20"/>
        </w:rPr>
        <w:t xml:space="preserve">consumi e </w:t>
      </w:r>
      <w:r w:rsidRPr="00081DEF">
        <w:rPr>
          <w:rFonts w:asciiTheme="majorHAnsi" w:eastAsia="F0" w:hAnsiTheme="majorHAnsi" w:cstheme="majorHAnsi"/>
          <w:sz w:val="20"/>
          <w:szCs w:val="20"/>
        </w:rPr>
        <w:t>costi, con possibilità di richiamare i dati storici archiviati.</w:t>
      </w:r>
    </w:p>
    <w:p w14:paraId="13EB77BC" w14:textId="77777777" w:rsidR="00216A24" w:rsidRPr="00081DEF" w:rsidRDefault="00216A24" w:rsidP="00216A24">
      <w:pPr>
        <w:jc w:val="both"/>
        <w:rPr>
          <w:rFonts w:asciiTheme="majorHAnsi" w:eastAsia="F0" w:hAnsiTheme="majorHAnsi" w:cstheme="majorHAnsi"/>
          <w:sz w:val="20"/>
          <w:szCs w:val="20"/>
        </w:rPr>
      </w:pPr>
    </w:p>
    <w:p w14:paraId="7237BD61" w14:textId="64AEC5FA" w:rsidR="00216A24" w:rsidRPr="00081DEF" w:rsidRDefault="00216A24" w:rsidP="00216A24">
      <w:pPr>
        <w:jc w:val="both"/>
        <w:rPr>
          <w:rFonts w:asciiTheme="majorHAnsi" w:hAnsiTheme="majorHAnsi" w:cstheme="majorHAnsi"/>
          <w:sz w:val="20"/>
          <w:szCs w:val="20"/>
        </w:rPr>
      </w:pPr>
      <w:r w:rsidRPr="00081DEF">
        <w:rPr>
          <w:rFonts w:asciiTheme="majorHAnsi" w:eastAsia="F0" w:hAnsiTheme="majorHAnsi" w:cstheme="majorHAnsi"/>
          <w:sz w:val="20"/>
          <w:szCs w:val="20"/>
        </w:rPr>
        <w:t xml:space="preserve">Professionisti e tecnici installatori propongono i contatori </w:t>
      </w:r>
      <w:proofErr w:type="spellStart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>sensonic</w:t>
      </w:r>
      <w:proofErr w:type="spellEnd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 xml:space="preserve"> 3 di ista</w:t>
      </w:r>
      <w:r w:rsidRPr="00081DEF">
        <w:rPr>
          <w:rFonts w:asciiTheme="majorHAnsi" w:eastAsia="F0" w:hAnsiTheme="majorHAnsi" w:cstheme="majorHAnsi"/>
          <w:sz w:val="20"/>
          <w:szCs w:val="20"/>
        </w:rPr>
        <w:t xml:space="preserve"> per le loro superiori caratteristiche tecniche, mentre amministratori e utenti apprezzano le utili funzionalità del servizio. </w:t>
      </w:r>
      <w:r w:rsidR="00041382" w:rsidRPr="00081DEF">
        <w:rPr>
          <w:rFonts w:asciiTheme="majorHAnsi" w:eastAsia="F0" w:hAnsiTheme="majorHAnsi" w:cstheme="majorHAnsi"/>
          <w:sz w:val="20"/>
          <w:szCs w:val="20"/>
        </w:rPr>
        <w:t xml:space="preserve">In questo modo </w:t>
      </w:r>
      <w:r w:rsidRPr="00081DEF">
        <w:rPr>
          <w:rFonts w:asciiTheme="majorHAnsi" w:eastAsia="F0" w:hAnsiTheme="majorHAnsi" w:cstheme="majorHAnsi"/>
          <w:sz w:val="20"/>
          <w:szCs w:val="20"/>
        </w:rPr>
        <w:t>ista contribuisce alla corretta e regolare informazione circa i consumi individuali, rendendo gli utenti dei soggetti consapevoli e attivi nella gestione del profilo economico più adeguato alle rispettive esigenze di comfort termico.</w:t>
      </w:r>
    </w:p>
    <w:p w14:paraId="4E8287F9" w14:textId="77777777" w:rsidR="00216A24" w:rsidRPr="00081DEF" w:rsidRDefault="00216A24" w:rsidP="00216A24">
      <w:pPr>
        <w:jc w:val="both"/>
        <w:rPr>
          <w:rFonts w:asciiTheme="majorHAnsi" w:eastAsia="F0" w:hAnsiTheme="majorHAnsi" w:cstheme="majorHAnsi"/>
          <w:sz w:val="20"/>
          <w:szCs w:val="20"/>
        </w:rPr>
      </w:pPr>
    </w:p>
    <w:p w14:paraId="5F692F5E" w14:textId="1FEE0148" w:rsidR="00216A24" w:rsidRPr="00081DEF" w:rsidRDefault="00216A24" w:rsidP="00216A24">
      <w:pPr>
        <w:jc w:val="both"/>
        <w:rPr>
          <w:rFonts w:asciiTheme="majorHAnsi" w:eastAsia="F0" w:hAnsiTheme="majorHAnsi" w:cstheme="majorHAnsi"/>
          <w:sz w:val="20"/>
          <w:szCs w:val="20"/>
        </w:rPr>
      </w:pPr>
      <w:r w:rsidRPr="00081DEF">
        <w:rPr>
          <w:rFonts w:asciiTheme="majorHAnsi" w:eastAsia="F0" w:hAnsiTheme="majorHAnsi" w:cstheme="majorHAnsi"/>
          <w:sz w:val="20"/>
          <w:szCs w:val="20"/>
        </w:rPr>
        <w:t xml:space="preserve">Tutti i contatori di calore </w:t>
      </w:r>
      <w:proofErr w:type="gramStart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>ista</w:t>
      </w:r>
      <w:proofErr w:type="gramEnd"/>
      <w:r w:rsidRPr="00081DEF">
        <w:rPr>
          <w:rFonts w:asciiTheme="majorHAnsi" w:eastAsia="F0" w:hAnsiTheme="majorHAnsi" w:cstheme="majorHAnsi"/>
          <w:sz w:val="20"/>
          <w:szCs w:val="20"/>
        </w:rPr>
        <w:t xml:space="preserve">, compreso </w:t>
      </w:r>
      <w:proofErr w:type="spellStart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>sensonic</w:t>
      </w:r>
      <w:proofErr w:type="spellEnd"/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 xml:space="preserve"> 3</w:t>
      </w:r>
      <w:r w:rsidRPr="00081DEF">
        <w:rPr>
          <w:rFonts w:asciiTheme="majorHAnsi" w:eastAsia="F0" w:hAnsiTheme="majorHAnsi" w:cstheme="majorHAnsi"/>
          <w:sz w:val="20"/>
          <w:szCs w:val="20"/>
        </w:rPr>
        <w:t xml:space="preserve">, sono omologati secondo la Direttiva Europea MID, recepita in Italia con </w:t>
      </w:r>
      <w:proofErr w:type="spellStart"/>
      <w:r w:rsidRPr="00081DEF">
        <w:rPr>
          <w:rFonts w:asciiTheme="majorHAnsi" w:eastAsia="F0" w:hAnsiTheme="majorHAnsi" w:cstheme="majorHAnsi"/>
          <w:sz w:val="20"/>
          <w:szCs w:val="20"/>
        </w:rPr>
        <w:t>D.Lgs.</w:t>
      </w:r>
      <w:proofErr w:type="spellEnd"/>
      <w:r w:rsidRPr="00081DEF">
        <w:rPr>
          <w:rFonts w:asciiTheme="majorHAnsi" w:eastAsia="F0" w:hAnsiTheme="majorHAnsi" w:cstheme="majorHAnsi"/>
          <w:sz w:val="20"/>
          <w:szCs w:val="20"/>
        </w:rPr>
        <w:t xml:space="preserve"> n. 22 del 2/2/2007. Per facilitare l’installazione, la gamma di accessori ista comprende anche </w:t>
      </w:r>
      <w:r w:rsidR="00041382" w:rsidRPr="00081DEF">
        <w:rPr>
          <w:rFonts w:asciiTheme="majorHAnsi" w:eastAsia="F0" w:hAnsiTheme="majorHAnsi" w:cstheme="majorHAnsi"/>
          <w:sz w:val="20"/>
          <w:szCs w:val="20"/>
        </w:rPr>
        <w:t xml:space="preserve">dispositivi </w:t>
      </w:r>
      <w:r w:rsidRPr="00081DEF">
        <w:rPr>
          <w:rFonts w:asciiTheme="majorHAnsi" w:eastAsia="F0" w:hAnsiTheme="majorHAnsi" w:cstheme="majorHAnsi"/>
          <w:sz w:val="20"/>
          <w:szCs w:val="20"/>
        </w:rPr>
        <w:t>di regolazione come distributori/collettori, valvole di taratura, valvole di miscela o by-pass.</w:t>
      </w:r>
    </w:p>
    <w:p w14:paraId="614B102C" w14:textId="77777777" w:rsidR="00216A24" w:rsidRPr="00081DEF" w:rsidRDefault="00216A24" w:rsidP="00216A24">
      <w:pPr>
        <w:jc w:val="both"/>
        <w:rPr>
          <w:rFonts w:asciiTheme="majorHAnsi" w:eastAsia="F0" w:hAnsiTheme="majorHAnsi" w:cstheme="majorHAnsi"/>
          <w:sz w:val="20"/>
          <w:szCs w:val="20"/>
        </w:rPr>
      </w:pPr>
    </w:p>
    <w:p w14:paraId="17B85ED3" w14:textId="77777777" w:rsidR="00216A24" w:rsidRPr="00081DEF" w:rsidRDefault="00216A24" w:rsidP="00216A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081DEF">
        <w:rPr>
          <w:rFonts w:asciiTheme="majorHAnsi" w:eastAsia="F0" w:hAnsiTheme="majorHAnsi" w:cstheme="majorHAnsi"/>
          <w:b/>
          <w:bCs/>
          <w:color w:val="000000"/>
          <w:sz w:val="20"/>
          <w:szCs w:val="20"/>
        </w:rPr>
        <w:t>Sensonic</w:t>
      </w:r>
      <w:proofErr w:type="spellEnd"/>
      <w:r w:rsidRPr="00081DEF">
        <w:rPr>
          <w:rFonts w:asciiTheme="majorHAnsi" w:eastAsia="F0" w:hAnsiTheme="majorHAnsi" w:cstheme="majorHAnsi"/>
          <w:b/>
          <w:bCs/>
          <w:color w:val="000000"/>
          <w:sz w:val="20"/>
          <w:szCs w:val="20"/>
        </w:rPr>
        <w:t xml:space="preserve"> 3. Vantaggi in sint</w:t>
      </w:r>
      <w:r w:rsidRPr="00081DEF">
        <w:rPr>
          <w:rFonts w:asciiTheme="majorHAnsi" w:eastAsia="F0" w:hAnsiTheme="majorHAnsi" w:cstheme="majorHAnsi"/>
          <w:b/>
          <w:bCs/>
          <w:sz w:val="20"/>
          <w:szCs w:val="20"/>
        </w:rPr>
        <w:t xml:space="preserve">esi. </w:t>
      </w:r>
    </w:p>
    <w:p w14:paraId="6CB641E9" w14:textId="35B3FEE0" w:rsidR="00CB6F8B" w:rsidRPr="00081DEF" w:rsidRDefault="00216A24" w:rsidP="00216A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jc w:val="both"/>
        <w:rPr>
          <w:rFonts w:asciiTheme="majorHAnsi" w:eastAsia="F0" w:hAnsiTheme="majorHAnsi" w:cstheme="majorHAnsi"/>
          <w:sz w:val="20"/>
          <w:szCs w:val="20"/>
        </w:rPr>
      </w:pPr>
      <w:r w:rsidRPr="00081DEF">
        <w:rPr>
          <w:rFonts w:asciiTheme="majorHAnsi" w:eastAsia="F0" w:hAnsiTheme="majorHAnsi" w:cstheme="majorHAnsi"/>
          <w:sz w:val="20"/>
          <w:szCs w:val="20"/>
        </w:rPr>
        <w:t xml:space="preserve">- Misurazione precisa e affidabile - Stabilità di </w:t>
      </w:r>
      <w:r w:rsidR="00041382" w:rsidRPr="00081DEF">
        <w:rPr>
          <w:rFonts w:asciiTheme="majorHAnsi" w:eastAsia="F0" w:hAnsiTheme="majorHAnsi" w:cstheme="majorHAnsi"/>
          <w:sz w:val="20"/>
          <w:szCs w:val="20"/>
        </w:rPr>
        <w:t xml:space="preserve">dati </w:t>
      </w:r>
      <w:r w:rsidRPr="00081DEF">
        <w:rPr>
          <w:rFonts w:asciiTheme="majorHAnsi" w:eastAsia="F0" w:hAnsiTheme="majorHAnsi" w:cstheme="majorHAnsi"/>
          <w:sz w:val="20"/>
          <w:szCs w:val="20"/>
        </w:rPr>
        <w:t>a lungo termine - Rilevazione precisa anche delle piccole portate - Consumo di energia estremamente basso - Minime perdite di carico - Range dinamico 1:1000 - Installazione possibile sia in verticale che in orizzontale - Esente da manutenzione - Sicuro contro le manomissioni grazie alla piombatura - Costruito con materiali robusti - Omologazione MID</w:t>
      </w:r>
    </w:p>
    <w:p w14:paraId="0D4478D5" w14:textId="16DC41F2" w:rsidR="00081DEF" w:rsidRPr="00081DEF" w:rsidRDefault="00081DEF" w:rsidP="00081DEF">
      <w:pPr>
        <w:rPr>
          <w:rFonts w:asciiTheme="majorHAnsi" w:hAnsiTheme="majorHAnsi" w:cstheme="majorHAnsi"/>
          <w:sz w:val="20"/>
          <w:szCs w:val="20"/>
        </w:rPr>
      </w:pPr>
    </w:p>
    <w:p w14:paraId="1ADAAE18" w14:textId="525585A4" w:rsidR="00081DEF" w:rsidRPr="00081DEF" w:rsidRDefault="00081DEF" w:rsidP="00081DEF">
      <w:pPr>
        <w:rPr>
          <w:rFonts w:asciiTheme="majorHAnsi" w:eastAsia="F0" w:hAnsiTheme="majorHAnsi" w:cstheme="majorHAnsi"/>
          <w:sz w:val="20"/>
          <w:szCs w:val="20"/>
        </w:rPr>
      </w:pPr>
    </w:p>
    <w:p w14:paraId="1AD6D7AE" w14:textId="77777777" w:rsidR="00A37CA4" w:rsidRDefault="00A37CA4" w:rsidP="00081DEF">
      <w:pPr>
        <w:contextualSpacing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52EB2485" w14:textId="77777777" w:rsidR="00A37CA4" w:rsidRDefault="00A37CA4" w:rsidP="00081DEF">
      <w:pPr>
        <w:contextualSpacing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38C154B2" w14:textId="77777777" w:rsidR="00A37CA4" w:rsidRDefault="00A37CA4" w:rsidP="00081DEF">
      <w:pPr>
        <w:contextualSpacing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77E78B33" w14:textId="77777777" w:rsidR="00A37CA4" w:rsidRDefault="00A37CA4" w:rsidP="00081DEF">
      <w:pPr>
        <w:contextualSpacing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49ACC62E" w14:textId="77777777" w:rsidR="00081DEF" w:rsidRPr="00081DEF" w:rsidRDefault="00081DEF" w:rsidP="00081DEF">
      <w:pPr>
        <w:contextualSpacing/>
        <w:rPr>
          <w:rFonts w:asciiTheme="majorHAnsi" w:eastAsia="Times New Roman" w:hAnsiTheme="majorHAnsi" w:cstheme="majorHAnsi"/>
          <w:b/>
          <w:bCs/>
          <w:sz w:val="20"/>
          <w:szCs w:val="20"/>
          <w:lang w:eastAsia="it-IT"/>
        </w:rPr>
      </w:pPr>
      <w:r w:rsidRPr="00081DEF">
        <w:rPr>
          <w:rFonts w:asciiTheme="majorHAnsi" w:eastAsia="Times New Roman" w:hAnsiTheme="majorHAnsi" w:cstheme="majorHAnsi"/>
          <w:b/>
          <w:bCs/>
          <w:sz w:val="20"/>
          <w:szCs w:val="20"/>
          <w:lang w:eastAsia="it-IT"/>
        </w:rPr>
        <w:t>Didascalie:</w:t>
      </w:r>
    </w:p>
    <w:p w14:paraId="043BA5BC" w14:textId="77777777" w:rsidR="00081DEF" w:rsidRPr="00081DEF" w:rsidRDefault="00081DEF" w:rsidP="00081DEF">
      <w:pPr>
        <w:contextualSpacing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081DEF">
        <w:rPr>
          <w:rFonts w:asciiTheme="majorHAnsi" w:eastAsia="Times New Roman" w:hAnsiTheme="majorHAnsi" w:cstheme="majorHAnsi"/>
          <w:noProof/>
          <w:sz w:val="20"/>
          <w:szCs w:val="20"/>
          <w:lang w:eastAsia="it-IT"/>
        </w:rPr>
        <w:drawing>
          <wp:inline distT="0" distB="0" distL="0" distR="0" wp14:anchorId="24E167BC" wp14:editId="76554D3E">
            <wp:extent cx="958362" cy="958362"/>
            <wp:effectExtent l="0" t="0" r="0" b="0"/>
            <wp:docPr id="8" name="Immagine 8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2191" cy="97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1DAA9" w14:textId="77777777" w:rsidR="00081DEF" w:rsidRPr="00081DEF" w:rsidRDefault="00081DEF" w:rsidP="00081DEF">
      <w:pPr>
        <w:contextualSpacing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081DE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1. </w:t>
      </w:r>
      <w:proofErr w:type="spellStart"/>
      <w:r w:rsidRPr="00081DEF">
        <w:rPr>
          <w:rFonts w:asciiTheme="majorHAnsi" w:eastAsia="Times New Roman" w:hAnsiTheme="majorHAnsi" w:cstheme="majorHAnsi"/>
          <w:sz w:val="20"/>
          <w:szCs w:val="20"/>
          <w:lang w:eastAsia="it-IT"/>
        </w:rPr>
        <w:t>Sensonic</w:t>
      </w:r>
      <w:proofErr w:type="spellEnd"/>
      <w:r w:rsidRPr="00081DE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3 - Il nuovo contatore di calore a marchio ista dalla struttura compatta con interfaccia radio integrata è la nuova generazione di contatori meccanici.</w:t>
      </w:r>
    </w:p>
    <w:p w14:paraId="023E7C89" w14:textId="77777777" w:rsidR="00081DEF" w:rsidRPr="00081DEF" w:rsidRDefault="00081DEF" w:rsidP="00081DEF">
      <w:pPr>
        <w:contextualSpacing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</w:p>
    <w:p w14:paraId="323C400E" w14:textId="77777777" w:rsidR="00081DEF" w:rsidRPr="00081DEF" w:rsidRDefault="00081DEF" w:rsidP="00081DEF">
      <w:pPr>
        <w:contextualSpacing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081DEF">
        <w:rPr>
          <w:rFonts w:asciiTheme="majorHAnsi" w:eastAsia="Times New Roman" w:hAnsiTheme="majorHAnsi" w:cstheme="majorHAnsi"/>
          <w:noProof/>
          <w:sz w:val="20"/>
          <w:szCs w:val="20"/>
          <w:lang w:eastAsia="it-IT"/>
        </w:rPr>
        <w:drawing>
          <wp:inline distT="0" distB="0" distL="0" distR="0" wp14:anchorId="41813B56" wp14:editId="15CE16CE">
            <wp:extent cx="562708" cy="871720"/>
            <wp:effectExtent l="0" t="0" r="0" b="5080"/>
            <wp:docPr id="9" name="Immagine 9" descr="Immagine che contiene orologio, computer, met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orologio, computer, metr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628" cy="88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219FA" w14:textId="77777777" w:rsidR="00081DEF" w:rsidRPr="00081DEF" w:rsidRDefault="00081DEF" w:rsidP="00081DEF">
      <w:pPr>
        <w:contextualSpacing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081DE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2. Unità di calcolo </w:t>
      </w:r>
      <w:proofErr w:type="spellStart"/>
      <w:r w:rsidRPr="00081DEF">
        <w:rPr>
          <w:rFonts w:asciiTheme="majorHAnsi" w:eastAsia="Times New Roman" w:hAnsiTheme="majorHAnsi" w:cstheme="majorHAnsi"/>
          <w:sz w:val="20"/>
          <w:szCs w:val="20"/>
          <w:lang w:eastAsia="it-IT"/>
        </w:rPr>
        <w:t>Sensonic</w:t>
      </w:r>
      <w:proofErr w:type="spellEnd"/>
      <w:r w:rsidRPr="00081DE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3 - In questa panoramica, oltre al numero di serie, QR code, marchio CE riportati sul frontale viene mostrata la morsettiera, la numerazione dei terminali e i passacavi generalmente celati da una cover rimovibile per il cablaggio.</w:t>
      </w:r>
    </w:p>
    <w:p w14:paraId="505B61D6" w14:textId="77777777" w:rsidR="00081DEF" w:rsidRPr="00081DEF" w:rsidRDefault="00081DEF" w:rsidP="00081DEF">
      <w:pPr>
        <w:contextualSpacing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</w:p>
    <w:p w14:paraId="5CC53CA9" w14:textId="77777777" w:rsidR="00081DEF" w:rsidRPr="00081DEF" w:rsidRDefault="00081DEF" w:rsidP="00081DEF">
      <w:pPr>
        <w:contextualSpacing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081DEF">
        <w:rPr>
          <w:rFonts w:asciiTheme="majorHAnsi" w:eastAsia="Times New Roman" w:hAnsiTheme="majorHAnsi" w:cstheme="majorHAnsi"/>
          <w:noProof/>
          <w:sz w:val="20"/>
          <w:szCs w:val="20"/>
          <w:lang w:eastAsia="it-IT"/>
        </w:rPr>
        <w:drawing>
          <wp:inline distT="0" distB="0" distL="0" distR="0" wp14:anchorId="1E4D9808" wp14:editId="21CE316A">
            <wp:extent cx="835041" cy="921425"/>
            <wp:effectExtent l="0" t="0" r="3175" b="5715"/>
            <wp:docPr id="10" name="Immagine 10" descr="Immagine che contiene interni, sedendo, tavolo, facci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interni, sedendo, tavolo, facciata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5649" cy="93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50B25" w14:textId="77777777" w:rsidR="00081DEF" w:rsidRPr="00081DEF" w:rsidRDefault="00081DEF" w:rsidP="00081DEF">
      <w:pPr>
        <w:contextualSpacing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081DE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3. La versione compatta del </w:t>
      </w:r>
      <w:proofErr w:type="spellStart"/>
      <w:r w:rsidRPr="00081DEF">
        <w:rPr>
          <w:rFonts w:asciiTheme="majorHAnsi" w:eastAsia="Times New Roman" w:hAnsiTheme="majorHAnsi" w:cstheme="majorHAnsi"/>
          <w:sz w:val="20"/>
          <w:szCs w:val="20"/>
          <w:lang w:eastAsia="it-IT"/>
        </w:rPr>
        <w:t>Sensonic</w:t>
      </w:r>
      <w:proofErr w:type="spellEnd"/>
      <w:r w:rsidRPr="00081DE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3 ista con due sonde di temperatura esterne soddisfa tutti i requisiti della direttiva europea per gli apparecchi di misurazione di calore.</w:t>
      </w:r>
    </w:p>
    <w:p w14:paraId="5D79458F" w14:textId="77777777" w:rsidR="00081DEF" w:rsidRPr="00081DEF" w:rsidRDefault="00081DEF" w:rsidP="00081DEF">
      <w:pPr>
        <w:contextualSpacing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</w:p>
    <w:p w14:paraId="106E64DB" w14:textId="77777777" w:rsidR="00081DEF" w:rsidRPr="00081DEF" w:rsidRDefault="00081DEF" w:rsidP="00081DEF">
      <w:pPr>
        <w:contextualSpacing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081DEF">
        <w:rPr>
          <w:rFonts w:asciiTheme="majorHAnsi" w:eastAsia="Times New Roman" w:hAnsiTheme="majorHAnsi" w:cstheme="majorHAnsi"/>
          <w:noProof/>
          <w:sz w:val="20"/>
          <w:szCs w:val="20"/>
          <w:lang w:eastAsia="it-IT"/>
        </w:rPr>
        <w:drawing>
          <wp:inline distT="0" distB="0" distL="0" distR="0" wp14:anchorId="7E4A866C" wp14:editId="0C13D20D">
            <wp:extent cx="738505" cy="736889"/>
            <wp:effectExtent l="0" t="0" r="0" b="0"/>
            <wp:docPr id="11" name="Immagine 11" descr="Immagine che contiene diverso, colori, sedendo, met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diverso, colori, sedendo, metro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2539" cy="75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FDA3B" w14:textId="77777777" w:rsidR="00081DEF" w:rsidRPr="00081DEF" w:rsidRDefault="00081DEF" w:rsidP="00081DEF">
      <w:pPr>
        <w:contextualSpacing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081DE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4. Il contatore di calore </w:t>
      </w:r>
      <w:proofErr w:type="spellStart"/>
      <w:r w:rsidRPr="00081DEF">
        <w:rPr>
          <w:rFonts w:asciiTheme="majorHAnsi" w:eastAsia="Times New Roman" w:hAnsiTheme="majorHAnsi" w:cstheme="majorHAnsi"/>
          <w:sz w:val="20"/>
          <w:szCs w:val="20"/>
          <w:lang w:eastAsia="it-IT"/>
        </w:rPr>
        <w:t>Sensonic</w:t>
      </w:r>
      <w:proofErr w:type="spellEnd"/>
      <w:r w:rsidRPr="00081DE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3 ista con due sonde di temperatura esterne grazie al supporto EAS può essere montato su tutte le tubazioni. Le dimensioni compatte agevolano il montaggio in ogni situazione.</w:t>
      </w:r>
    </w:p>
    <w:p w14:paraId="3F03FDDF" w14:textId="77777777" w:rsidR="00081DEF" w:rsidRPr="00081DEF" w:rsidRDefault="00081DEF" w:rsidP="00081DEF">
      <w:pPr>
        <w:contextualSpacing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</w:p>
    <w:p w14:paraId="172F3858" w14:textId="77777777" w:rsidR="00081DEF" w:rsidRPr="00081DEF" w:rsidRDefault="00081DEF" w:rsidP="00081DEF">
      <w:pPr>
        <w:contextualSpacing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081DEF">
        <w:rPr>
          <w:rFonts w:asciiTheme="majorHAnsi" w:eastAsia="Times New Roman" w:hAnsiTheme="majorHAnsi" w:cstheme="majorHAnsi"/>
          <w:noProof/>
          <w:sz w:val="20"/>
          <w:szCs w:val="20"/>
          <w:lang w:eastAsia="it-IT"/>
        </w:rPr>
        <w:drawing>
          <wp:inline distT="0" distB="0" distL="0" distR="0" wp14:anchorId="6F6DF717" wp14:editId="68AD1A4D">
            <wp:extent cx="1184910" cy="825772"/>
            <wp:effectExtent l="0" t="0" r="0" b="0"/>
            <wp:docPr id="12" name="Immagine 12" descr="Immagine che contiene interni, tavolo, piccolo, sed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 descr="Immagine che contiene interni, tavolo, piccolo, sedendo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29698" cy="85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143C4" w14:textId="77777777" w:rsidR="00081DEF" w:rsidRPr="00081DEF" w:rsidRDefault="00081DEF" w:rsidP="00081DEF">
      <w:pPr>
        <w:contextualSpacing/>
        <w:rPr>
          <w:rFonts w:asciiTheme="majorHAnsi" w:hAnsiTheme="majorHAnsi" w:cstheme="majorHAnsi"/>
          <w:sz w:val="20"/>
          <w:szCs w:val="20"/>
        </w:rPr>
      </w:pPr>
      <w:r w:rsidRPr="00081DE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5. La combinazione dell’unità di calcolo </w:t>
      </w:r>
      <w:proofErr w:type="spellStart"/>
      <w:r w:rsidRPr="00081DEF">
        <w:rPr>
          <w:rFonts w:asciiTheme="majorHAnsi" w:eastAsia="Times New Roman" w:hAnsiTheme="majorHAnsi" w:cstheme="majorHAnsi"/>
          <w:sz w:val="20"/>
          <w:szCs w:val="20"/>
          <w:lang w:eastAsia="it-IT"/>
        </w:rPr>
        <w:t>Sensonic</w:t>
      </w:r>
      <w:proofErr w:type="spellEnd"/>
      <w:r w:rsidRPr="00081DE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3 con il sensore di flusso ad ultrasuoni rendono il prodotto flessibile nell'ambito della misura del calore per soluzioni abitative e commerciali di medie/grandi dimensioni.</w:t>
      </w:r>
    </w:p>
    <w:p w14:paraId="35F4C3E3" w14:textId="77777777" w:rsidR="00081DEF" w:rsidRPr="00081DEF" w:rsidRDefault="00081DEF" w:rsidP="00081DEF">
      <w:pPr>
        <w:jc w:val="center"/>
        <w:rPr>
          <w:rFonts w:asciiTheme="majorHAnsi" w:hAnsiTheme="majorHAnsi" w:cstheme="majorHAnsi"/>
          <w:sz w:val="18"/>
          <w:szCs w:val="18"/>
        </w:rPr>
      </w:pPr>
    </w:p>
    <w:sectPr w:rsidR="00081DEF" w:rsidRPr="00081DEF" w:rsidSect="00216A24">
      <w:headerReference w:type="default" r:id="rId12"/>
      <w:footerReference w:type="default" r:id="rId13"/>
      <w:pgSz w:w="12240" w:h="15840"/>
      <w:pgMar w:top="1192" w:right="1134" w:bottom="567" w:left="1134" w:header="221" w:footer="28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FD3C0" w14:textId="77777777" w:rsidR="00100263" w:rsidRDefault="00100263" w:rsidP="00CB6F8B">
      <w:r>
        <w:separator/>
      </w:r>
    </w:p>
  </w:endnote>
  <w:endnote w:type="continuationSeparator" w:id="0">
    <w:p w14:paraId="2218BC35" w14:textId="77777777" w:rsidR="00100263" w:rsidRDefault="00100263" w:rsidP="00CB6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ta TheSans">
    <w:altName w:val="Ista TheSans"/>
    <w:panose1 w:val="020B0604020202020204"/>
    <w:charset w:val="00"/>
    <w:family w:val="swiss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sta TheSans Bold">
    <w:altName w:val="Ista TheSans Bold"/>
    <w:panose1 w:val="020B0604020202020204"/>
    <w:charset w:val="00"/>
    <w:family w:val="swiss"/>
    <w:notTrueType/>
    <w:pitch w:val="variable"/>
    <w:sig w:usb0="00000001" w:usb1="00000000" w:usb2="00000000" w:usb3="00000000" w:csb0="00000009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IstaTheSans">
    <w:altName w:val="MS Gothic"/>
    <w:panose1 w:val="020B0604020202020204"/>
    <w:charset w:val="00"/>
    <w:family w:val="roman"/>
    <w:notTrueType/>
    <w:pitch w:val="default"/>
  </w:font>
  <w:font w:name="F0">
    <w:panose1 w:val="020B0604020202020204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9065A" w14:textId="00DD2358" w:rsidR="00E85B73" w:rsidRDefault="00E85B73">
    <w:pPr>
      <w:pStyle w:val="Pidipagina"/>
      <w:rPr>
        <w:rFonts w:asciiTheme="majorHAnsi" w:hAnsiTheme="majorHAnsi"/>
        <w:color w:val="808080" w:themeColor="background1" w:themeShade="80"/>
        <w:sz w:val="16"/>
        <w:szCs w:val="16"/>
      </w:rPr>
    </w:pPr>
    <w:r w:rsidRPr="006B382B">
      <w:rPr>
        <w:rFonts w:asciiTheme="majorHAnsi" w:hAnsiTheme="majorHAnsi"/>
        <w:b/>
        <w:color w:val="808080" w:themeColor="background1" w:themeShade="80"/>
        <w:sz w:val="16"/>
        <w:szCs w:val="16"/>
      </w:rPr>
      <w:t>ista Italia s.r.l.</w:t>
    </w:r>
    <w:r w:rsidRPr="00564007">
      <w:rPr>
        <w:rFonts w:asciiTheme="majorHAnsi" w:hAnsiTheme="majorHAnsi"/>
        <w:color w:val="808080" w:themeColor="background1" w:themeShade="80"/>
        <w:sz w:val="16"/>
        <w:szCs w:val="16"/>
      </w:rPr>
      <w:t xml:space="preserve"> Via R. Lepetit, 40 - 20020 Lainate (MI) - info.italia@ista.com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- Sede di </w:t>
    </w:r>
    <w:r w:rsidRPr="00564007">
      <w:rPr>
        <w:rFonts w:asciiTheme="majorHAnsi" w:hAnsiTheme="majorHAnsi"/>
        <w:color w:val="808080" w:themeColor="background1" w:themeShade="80"/>
        <w:sz w:val="16"/>
        <w:szCs w:val="16"/>
      </w:rPr>
      <w:t xml:space="preserve">Roma: Viale C. </w:t>
    </w:r>
    <w:proofErr w:type="spellStart"/>
    <w:r w:rsidRPr="00564007">
      <w:rPr>
        <w:rFonts w:asciiTheme="majorHAnsi" w:hAnsiTheme="majorHAnsi"/>
        <w:color w:val="808080" w:themeColor="background1" w:themeShade="80"/>
        <w:sz w:val="16"/>
        <w:szCs w:val="16"/>
      </w:rPr>
      <w:t>Marx</w:t>
    </w:r>
    <w:proofErr w:type="spellEnd"/>
    <w:r w:rsidRPr="00564007">
      <w:rPr>
        <w:rFonts w:asciiTheme="majorHAnsi" w:hAnsiTheme="majorHAnsi"/>
        <w:color w:val="808080" w:themeColor="background1" w:themeShade="80"/>
        <w:sz w:val="16"/>
        <w:szCs w:val="16"/>
      </w:rPr>
      <w:t>, 135/2 - 00137 Roma ph. +39 06 5947411</w:t>
    </w:r>
  </w:p>
  <w:p w14:paraId="4945928C" w14:textId="6F85F38C" w:rsidR="00E85B73" w:rsidRPr="00564007" w:rsidRDefault="00E85B73">
    <w:pPr>
      <w:pStyle w:val="Pidipagina"/>
      <w:rPr>
        <w:rFonts w:asciiTheme="majorHAnsi" w:hAnsiTheme="majorHAnsi"/>
        <w:color w:val="808080" w:themeColor="background1" w:themeShade="80"/>
        <w:sz w:val="16"/>
        <w:szCs w:val="16"/>
      </w:rPr>
    </w:pPr>
    <w:r w:rsidRPr="006452CD">
      <w:rPr>
        <w:rFonts w:asciiTheme="majorHAnsi" w:hAnsiTheme="majorHAnsi"/>
        <w:b/>
        <w:color w:val="808080" w:themeColor="background1" w:themeShade="80"/>
        <w:sz w:val="16"/>
        <w:szCs w:val="16"/>
      </w:rPr>
      <w:t>Ufficio Stamp</w:t>
    </w:r>
    <w:r>
      <w:rPr>
        <w:rFonts w:asciiTheme="majorHAnsi" w:hAnsiTheme="majorHAnsi"/>
        <w:b/>
        <w:color w:val="808080" w:themeColor="background1" w:themeShade="80"/>
        <w:sz w:val="16"/>
        <w:szCs w:val="16"/>
      </w:rPr>
      <w:t>a Itali</w:t>
    </w:r>
    <w:r w:rsidRPr="006452CD">
      <w:rPr>
        <w:rFonts w:asciiTheme="majorHAnsi" w:hAnsiTheme="majorHAnsi"/>
        <w:b/>
        <w:color w:val="808080" w:themeColor="background1" w:themeShade="80"/>
        <w:sz w:val="16"/>
        <w:szCs w:val="16"/>
      </w:rPr>
      <w:t>a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: tac comunic@zione </w:t>
    </w:r>
    <w:proofErr w:type="spellStart"/>
    <w:r>
      <w:rPr>
        <w:rFonts w:asciiTheme="majorHAnsi" w:hAnsiTheme="majorHAnsi"/>
        <w:color w:val="808080" w:themeColor="background1" w:themeShade="80"/>
        <w:sz w:val="16"/>
        <w:szCs w:val="16"/>
      </w:rPr>
      <w:t>Milano|Genova</w:t>
    </w:r>
    <w:proofErr w:type="spellEnd"/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39F5CD" w14:textId="77777777" w:rsidR="00100263" w:rsidRDefault="00100263" w:rsidP="00CB6F8B">
      <w:r>
        <w:separator/>
      </w:r>
    </w:p>
  </w:footnote>
  <w:footnote w:type="continuationSeparator" w:id="0">
    <w:p w14:paraId="199965A1" w14:textId="77777777" w:rsidR="00100263" w:rsidRDefault="00100263" w:rsidP="00CB6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B41D3" w14:textId="77777777" w:rsidR="00E85B73" w:rsidRDefault="00E85B73">
    <w:pPr>
      <w:pStyle w:val="Intestazione"/>
    </w:pPr>
    <w:r>
      <w:rPr>
        <w:rFonts w:ascii="Arial" w:hAnsi="Arial" w:cs="Arial"/>
        <w:noProof/>
        <w:color w:val="000000" w:themeColor="text1"/>
        <w:lang w:eastAsia="it-IT"/>
      </w:rPr>
      <w:drawing>
        <wp:inline distT="0" distB="0" distL="0" distR="0" wp14:anchorId="7A04A4ED" wp14:editId="1F381CA6">
          <wp:extent cx="1185333" cy="508000"/>
          <wp:effectExtent l="0" t="0" r="0" b="0"/>
          <wp:docPr id="1" name="Immagine 1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ta_CO_Wor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5755" cy="508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8B"/>
    <w:rsid w:val="00011C53"/>
    <w:rsid w:val="00041382"/>
    <w:rsid w:val="00066C18"/>
    <w:rsid w:val="00081DEF"/>
    <w:rsid w:val="00093402"/>
    <w:rsid w:val="000A4581"/>
    <w:rsid w:val="000D14BB"/>
    <w:rsid w:val="000D490D"/>
    <w:rsid w:val="000E4CDC"/>
    <w:rsid w:val="00100263"/>
    <w:rsid w:val="00116875"/>
    <w:rsid w:val="00145B85"/>
    <w:rsid w:val="0014633B"/>
    <w:rsid w:val="00182AC9"/>
    <w:rsid w:val="00195ECA"/>
    <w:rsid w:val="001C6776"/>
    <w:rsid w:val="001E3C9C"/>
    <w:rsid w:val="001F3921"/>
    <w:rsid w:val="002014B8"/>
    <w:rsid w:val="00216A24"/>
    <w:rsid w:val="00241BB9"/>
    <w:rsid w:val="002460F3"/>
    <w:rsid w:val="00274539"/>
    <w:rsid w:val="00275FAF"/>
    <w:rsid w:val="002844A0"/>
    <w:rsid w:val="0028527B"/>
    <w:rsid w:val="00293D99"/>
    <w:rsid w:val="002B5230"/>
    <w:rsid w:val="002D41D4"/>
    <w:rsid w:val="0030339F"/>
    <w:rsid w:val="003114E4"/>
    <w:rsid w:val="00323B75"/>
    <w:rsid w:val="003301B0"/>
    <w:rsid w:val="00335EC0"/>
    <w:rsid w:val="0036738D"/>
    <w:rsid w:val="00392E54"/>
    <w:rsid w:val="003963E2"/>
    <w:rsid w:val="003A48CD"/>
    <w:rsid w:val="003A54D1"/>
    <w:rsid w:val="003A6021"/>
    <w:rsid w:val="003A62A0"/>
    <w:rsid w:val="003C2D6E"/>
    <w:rsid w:val="003F7E2E"/>
    <w:rsid w:val="00405D20"/>
    <w:rsid w:val="00415CE3"/>
    <w:rsid w:val="0041687A"/>
    <w:rsid w:val="004229AF"/>
    <w:rsid w:val="00466E26"/>
    <w:rsid w:val="004D04DD"/>
    <w:rsid w:val="005138A2"/>
    <w:rsid w:val="005347E1"/>
    <w:rsid w:val="00537F74"/>
    <w:rsid w:val="0055132C"/>
    <w:rsid w:val="00564007"/>
    <w:rsid w:val="005979BB"/>
    <w:rsid w:val="005B7E8C"/>
    <w:rsid w:val="005C2728"/>
    <w:rsid w:val="005C498B"/>
    <w:rsid w:val="005E2C5D"/>
    <w:rsid w:val="0060710E"/>
    <w:rsid w:val="0064293C"/>
    <w:rsid w:val="006452CD"/>
    <w:rsid w:val="0065123F"/>
    <w:rsid w:val="006522B0"/>
    <w:rsid w:val="0065248F"/>
    <w:rsid w:val="00666F9E"/>
    <w:rsid w:val="00675614"/>
    <w:rsid w:val="0067621F"/>
    <w:rsid w:val="006854D5"/>
    <w:rsid w:val="00696287"/>
    <w:rsid w:val="006B382B"/>
    <w:rsid w:val="006C0008"/>
    <w:rsid w:val="006D372C"/>
    <w:rsid w:val="006D6961"/>
    <w:rsid w:val="006F5705"/>
    <w:rsid w:val="00704672"/>
    <w:rsid w:val="00711B8F"/>
    <w:rsid w:val="007121B3"/>
    <w:rsid w:val="00713E89"/>
    <w:rsid w:val="00717B19"/>
    <w:rsid w:val="00724A97"/>
    <w:rsid w:val="00735D63"/>
    <w:rsid w:val="0074691C"/>
    <w:rsid w:val="00774B1C"/>
    <w:rsid w:val="007A5AF1"/>
    <w:rsid w:val="007D63C9"/>
    <w:rsid w:val="007F1A77"/>
    <w:rsid w:val="008054FD"/>
    <w:rsid w:val="008120BA"/>
    <w:rsid w:val="00835EBB"/>
    <w:rsid w:val="00842C1F"/>
    <w:rsid w:val="00855EA7"/>
    <w:rsid w:val="008569F3"/>
    <w:rsid w:val="00866855"/>
    <w:rsid w:val="00883A36"/>
    <w:rsid w:val="008922ED"/>
    <w:rsid w:val="008940BF"/>
    <w:rsid w:val="00894D35"/>
    <w:rsid w:val="008A256C"/>
    <w:rsid w:val="008A3340"/>
    <w:rsid w:val="008F3D59"/>
    <w:rsid w:val="00932CCD"/>
    <w:rsid w:val="00934055"/>
    <w:rsid w:val="00965802"/>
    <w:rsid w:val="00972639"/>
    <w:rsid w:val="0097517E"/>
    <w:rsid w:val="00976411"/>
    <w:rsid w:val="00985CBF"/>
    <w:rsid w:val="00987E1D"/>
    <w:rsid w:val="009B1918"/>
    <w:rsid w:val="009B2451"/>
    <w:rsid w:val="009B32A4"/>
    <w:rsid w:val="009B593B"/>
    <w:rsid w:val="009C0AE3"/>
    <w:rsid w:val="009C3662"/>
    <w:rsid w:val="009C568B"/>
    <w:rsid w:val="009D0831"/>
    <w:rsid w:val="009E3A4F"/>
    <w:rsid w:val="009E436E"/>
    <w:rsid w:val="009F4012"/>
    <w:rsid w:val="00A15A7F"/>
    <w:rsid w:val="00A1724C"/>
    <w:rsid w:val="00A30ECA"/>
    <w:rsid w:val="00A37CA4"/>
    <w:rsid w:val="00A438AB"/>
    <w:rsid w:val="00A5053B"/>
    <w:rsid w:val="00A54216"/>
    <w:rsid w:val="00A65D80"/>
    <w:rsid w:val="00A7474C"/>
    <w:rsid w:val="00A835C3"/>
    <w:rsid w:val="00A95D1A"/>
    <w:rsid w:val="00AA3704"/>
    <w:rsid w:val="00AC722C"/>
    <w:rsid w:val="00AD4BA2"/>
    <w:rsid w:val="00AE238E"/>
    <w:rsid w:val="00AF174C"/>
    <w:rsid w:val="00AF734B"/>
    <w:rsid w:val="00B04445"/>
    <w:rsid w:val="00B07ACB"/>
    <w:rsid w:val="00B1477D"/>
    <w:rsid w:val="00B16A09"/>
    <w:rsid w:val="00B2775A"/>
    <w:rsid w:val="00B334F5"/>
    <w:rsid w:val="00B364AA"/>
    <w:rsid w:val="00B364CC"/>
    <w:rsid w:val="00B36941"/>
    <w:rsid w:val="00B413A3"/>
    <w:rsid w:val="00B5601E"/>
    <w:rsid w:val="00B72734"/>
    <w:rsid w:val="00B74EC0"/>
    <w:rsid w:val="00BA7C7D"/>
    <w:rsid w:val="00BC2F6D"/>
    <w:rsid w:val="00BD15AF"/>
    <w:rsid w:val="00BD48B0"/>
    <w:rsid w:val="00BE7BFA"/>
    <w:rsid w:val="00BF551B"/>
    <w:rsid w:val="00C23A4E"/>
    <w:rsid w:val="00C30D17"/>
    <w:rsid w:val="00C90E8E"/>
    <w:rsid w:val="00CB6F8B"/>
    <w:rsid w:val="00CF08C6"/>
    <w:rsid w:val="00D0236C"/>
    <w:rsid w:val="00D15D09"/>
    <w:rsid w:val="00D23E4C"/>
    <w:rsid w:val="00D36719"/>
    <w:rsid w:val="00D6210F"/>
    <w:rsid w:val="00D83155"/>
    <w:rsid w:val="00D90569"/>
    <w:rsid w:val="00DD54C5"/>
    <w:rsid w:val="00DF734F"/>
    <w:rsid w:val="00E260B9"/>
    <w:rsid w:val="00E36A0F"/>
    <w:rsid w:val="00E63F54"/>
    <w:rsid w:val="00E807B2"/>
    <w:rsid w:val="00E85B73"/>
    <w:rsid w:val="00E87D9D"/>
    <w:rsid w:val="00E93C11"/>
    <w:rsid w:val="00EA4BCE"/>
    <w:rsid w:val="00EA59C4"/>
    <w:rsid w:val="00EB385F"/>
    <w:rsid w:val="00EE5C85"/>
    <w:rsid w:val="00EF4B87"/>
    <w:rsid w:val="00EF4EAE"/>
    <w:rsid w:val="00F00682"/>
    <w:rsid w:val="00F14E0E"/>
    <w:rsid w:val="00F17F16"/>
    <w:rsid w:val="00F207C9"/>
    <w:rsid w:val="00F51D76"/>
    <w:rsid w:val="00F73C72"/>
    <w:rsid w:val="00F77982"/>
    <w:rsid w:val="00FE21CE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2192D4"/>
  <w14:defaultImageDpi w14:val="300"/>
  <w15:docId w15:val="{7D9B251F-0A2A-A847-B865-BFC34241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7982"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6F8B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6F8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CB6F8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B6F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6F8B"/>
  </w:style>
  <w:style w:type="paragraph" w:customStyle="1" w:styleId="Default">
    <w:name w:val="Default"/>
    <w:rsid w:val="00CB6F8B"/>
    <w:pPr>
      <w:autoSpaceDE w:val="0"/>
      <w:autoSpaceDN w:val="0"/>
      <w:adjustRightInd w:val="0"/>
    </w:pPr>
    <w:rPr>
      <w:rFonts w:ascii="Ista TheSans" w:eastAsiaTheme="minorHAnsi" w:hAnsi="Ista TheSans" w:cs="Ista TheSans"/>
      <w:color w:val="000000"/>
      <w:lang w:eastAsia="en-US"/>
    </w:rPr>
  </w:style>
  <w:style w:type="character" w:customStyle="1" w:styleId="A10">
    <w:name w:val="A10"/>
    <w:uiPriority w:val="99"/>
    <w:rsid w:val="00CB6F8B"/>
    <w:rPr>
      <w:rFonts w:ascii="Ista TheSans Bold" w:hAnsi="Ista TheSans Bold" w:cs="Ista TheSans Bold"/>
      <w:color w:val="000000"/>
      <w:sz w:val="46"/>
      <w:szCs w:val="46"/>
    </w:rPr>
  </w:style>
  <w:style w:type="paragraph" w:styleId="NormaleWeb">
    <w:name w:val="Normal (Web)"/>
    <w:basedOn w:val="Normale"/>
    <w:uiPriority w:val="99"/>
    <w:unhideWhenUsed/>
    <w:rsid w:val="00CB6F8B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B6F8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B6F8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F8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6F8B"/>
    <w:rPr>
      <w:rFonts w:ascii="Lucida Grande" w:hAnsi="Lucida Grande" w:cs="Lucida Grande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CB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6F8B"/>
  </w:style>
  <w:style w:type="character" w:customStyle="1" w:styleId="fontstyle01">
    <w:name w:val="fontstyle01"/>
    <w:basedOn w:val="Carpredefinitoparagrafo"/>
    <w:rsid w:val="00972639"/>
    <w:rPr>
      <w:rFonts w:ascii="IstaTheSans" w:hAnsi="IstaTheSans" w:hint="default"/>
      <w:b w:val="0"/>
      <w:bCs w:val="0"/>
      <w:i w:val="0"/>
      <w:iCs w:val="0"/>
      <w:color w:val="011E5F"/>
      <w:sz w:val="24"/>
      <w:szCs w:val="24"/>
    </w:rPr>
  </w:style>
  <w:style w:type="paragraph" w:customStyle="1" w:styleId="xmsonormal">
    <w:name w:val="xmsonormal"/>
    <w:basedOn w:val="Normale"/>
    <w:rsid w:val="007A5AF1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Revisione">
    <w:name w:val="Revision"/>
    <w:hidden/>
    <w:uiPriority w:val="99"/>
    <w:semiHidden/>
    <w:rsid w:val="00081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774</Words>
  <Characters>4461</Characters>
  <Application>Microsoft Office Word</Application>
  <DocSecurity>0</DocSecurity>
  <Lines>75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Andrea Giuseppe Turatti</cp:lastModifiedBy>
  <cp:revision>5</cp:revision>
  <cp:lastPrinted>2020-04-15T15:05:00Z</cp:lastPrinted>
  <dcterms:created xsi:type="dcterms:W3CDTF">2020-10-26T10:12:00Z</dcterms:created>
  <dcterms:modified xsi:type="dcterms:W3CDTF">2020-10-30T09:28:00Z</dcterms:modified>
</cp:coreProperties>
</file>