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5903E" w14:textId="77777777" w:rsidR="00933ED8" w:rsidRDefault="00933ED8" w:rsidP="00736866">
      <w:pPr>
        <w:ind w:left="-567"/>
        <w:jc w:val="both"/>
        <w:rPr>
          <w:rFonts w:ascii="Calibri" w:eastAsia="Calibri" w:hAnsi="Calibri" w:cs="Calibri"/>
          <w:b/>
          <w:sz w:val="28"/>
          <w:szCs w:val="28"/>
          <w:bdr w:val="nil"/>
          <w:lang w:val="it-IT"/>
        </w:rPr>
      </w:pPr>
      <w:r>
        <w:rPr>
          <w:rFonts w:ascii="Helvetica" w:eastAsia="Helvetica" w:hAnsi="Helvetica" w:cs="Helvetica"/>
          <w:b/>
          <w:bCs/>
          <w:i/>
          <w:iCs/>
          <w:noProof/>
          <w:sz w:val="28"/>
          <w:szCs w:val="28"/>
          <w:lang w:val="it-IT" w:eastAsia="it-IT"/>
        </w:rPr>
        <w:drawing>
          <wp:inline distT="0" distB="0" distL="0" distR="0" wp14:anchorId="7271EA78" wp14:editId="173CEB5E">
            <wp:extent cx="2065306" cy="672294"/>
            <wp:effectExtent l="0" t="0" r="0" b="0"/>
            <wp:docPr id="3" name="Immagine 3" descr="Macintosh HD:Users:pstaiano:Desktop:Schermata 2018-01-28 alle 12.29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Schermata 2018-01-28 alle 12.29.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816" cy="6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B6C91" w14:textId="77777777" w:rsidR="00386574" w:rsidRDefault="00386574" w:rsidP="0038657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  <w:r w:rsidRPr="00386574"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>Comunicato stampa</w:t>
      </w:r>
    </w:p>
    <w:p w14:paraId="7590F2E7" w14:textId="77777777" w:rsidR="00386574" w:rsidRDefault="00174504" w:rsidP="0038657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  <w:r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>1 febbra</w:t>
      </w:r>
      <w:r w:rsidR="00386574" w:rsidRPr="00386574"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>io 2018</w:t>
      </w:r>
    </w:p>
    <w:p w14:paraId="54C38E6A" w14:textId="4FF824B3" w:rsidR="00386574" w:rsidRPr="00386574" w:rsidRDefault="008B6DBE" w:rsidP="008B6DBE">
      <w:pPr>
        <w:tabs>
          <w:tab w:val="left" w:pos="1169"/>
        </w:tabs>
        <w:ind w:left="-567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  <w:r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ab/>
      </w:r>
      <w:bookmarkStart w:id="0" w:name="_GoBack"/>
      <w:bookmarkEnd w:id="0"/>
    </w:p>
    <w:p w14:paraId="6D3B5425" w14:textId="77777777" w:rsidR="00933ED8" w:rsidRPr="00933ED8" w:rsidRDefault="005104B3" w:rsidP="00933ED8">
      <w:pPr>
        <w:jc w:val="both"/>
        <w:rPr>
          <w:b/>
          <w:sz w:val="28"/>
          <w:szCs w:val="28"/>
        </w:rPr>
      </w:pPr>
      <w:r w:rsidRPr="00933ED8">
        <w:rPr>
          <w:rFonts w:ascii="Calibri" w:eastAsia="Calibri" w:hAnsi="Calibri" w:cs="Calibri"/>
          <w:b/>
          <w:sz w:val="28"/>
          <w:szCs w:val="28"/>
          <w:bdr w:val="nil"/>
          <w:lang w:val="it-IT"/>
        </w:rPr>
        <w:t>FIORA SI UNISCE ALLA HOLDING INTERNAZIONALE DI ROYO GROUP</w:t>
      </w:r>
    </w:p>
    <w:p w14:paraId="1817EEE7" w14:textId="77777777" w:rsidR="00736866" w:rsidRPr="00736866" w:rsidRDefault="00933ED8" w:rsidP="00736866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proofErr w:type="spellStart"/>
      <w:r w:rsidRPr="00736866">
        <w:rPr>
          <w:rFonts w:ascii="Arial" w:hAnsi="Arial" w:cs="Arial"/>
          <w:color w:val="000000"/>
          <w:sz w:val="23"/>
          <w:szCs w:val="23"/>
        </w:rPr>
        <w:t>Royo</w:t>
      </w:r>
      <w:proofErr w:type="spellEnd"/>
      <w:r w:rsidRPr="00736866">
        <w:rPr>
          <w:rFonts w:ascii="Arial" w:hAnsi="Arial" w:cs="Arial"/>
          <w:color w:val="000000"/>
          <w:sz w:val="23"/>
          <w:szCs w:val="23"/>
        </w:rPr>
        <w:t xml:space="preserve"> Group,</w:t>
      </w:r>
      <w:r w:rsidR="00736866" w:rsidRPr="00736866">
        <w:rPr>
          <w:rFonts w:ascii="Arial" w:hAnsi="Arial" w:cs="Arial"/>
          <w:color w:val="000000"/>
          <w:sz w:val="23"/>
          <w:szCs w:val="23"/>
        </w:rPr>
        <w:t xml:space="preserve"> partecipata da </w:t>
      </w:r>
      <w:proofErr w:type="gramStart"/>
      <w:r w:rsidRPr="00736866">
        <w:rPr>
          <w:rFonts w:ascii="Arial" w:hAnsi="Arial" w:cs="Arial"/>
          <w:color w:val="000000"/>
          <w:sz w:val="23"/>
          <w:szCs w:val="23"/>
        </w:rPr>
        <w:t>H.I.G.</w:t>
      </w:r>
      <w:proofErr w:type="gramEnd"/>
      <w:r w:rsidRPr="00736866">
        <w:rPr>
          <w:rFonts w:ascii="Arial" w:hAnsi="Arial" w:cs="Arial"/>
          <w:color w:val="000000"/>
          <w:sz w:val="23"/>
          <w:szCs w:val="23"/>
        </w:rPr>
        <w:t xml:space="preserve"> Capital, primario operatore a livello mondiale nel settore del private </w:t>
      </w:r>
      <w:proofErr w:type="spellStart"/>
      <w:r w:rsidRPr="00736866">
        <w:rPr>
          <w:rFonts w:ascii="Arial" w:hAnsi="Arial" w:cs="Arial"/>
          <w:color w:val="000000"/>
          <w:sz w:val="23"/>
          <w:szCs w:val="23"/>
        </w:rPr>
        <w:t>equity</w:t>
      </w:r>
      <w:proofErr w:type="spellEnd"/>
      <w:r w:rsidRPr="00736866">
        <w:rPr>
          <w:rFonts w:ascii="Arial" w:hAnsi="Arial" w:cs="Arial"/>
          <w:color w:val="000000"/>
          <w:sz w:val="23"/>
          <w:szCs w:val="23"/>
        </w:rPr>
        <w:t xml:space="preserve"> e degli investimenti alternativi con €20 miliardi di patrimonio gestito, ha annunciato l’acquisizione di F</w:t>
      </w:r>
      <w:r w:rsidR="00736866" w:rsidRPr="00736866">
        <w:rPr>
          <w:rFonts w:ascii="Arial" w:hAnsi="Arial" w:cs="Arial"/>
          <w:color w:val="000000"/>
          <w:sz w:val="23"/>
          <w:szCs w:val="23"/>
        </w:rPr>
        <w:t xml:space="preserve">iora Bath </w:t>
      </w:r>
      <w:proofErr w:type="spellStart"/>
      <w:r w:rsidR="00736866" w:rsidRPr="00736866">
        <w:rPr>
          <w:rFonts w:ascii="Arial" w:hAnsi="Arial" w:cs="Arial"/>
          <w:color w:val="000000"/>
          <w:sz w:val="23"/>
          <w:szCs w:val="23"/>
        </w:rPr>
        <w:t>Collections</w:t>
      </w:r>
      <w:proofErr w:type="spellEnd"/>
      <w:r w:rsidR="00736866" w:rsidRPr="00736866">
        <w:rPr>
          <w:rFonts w:ascii="Arial" w:hAnsi="Arial" w:cs="Arial"/>
          <w:color w:val="000000"/>
          <w:sz w:val="23"/>
          <w:szCs w:val="23"/>
        </w:rPr>
        <w:t xml:space="preserve"> (“Fiora”). </w:t>
      </w:r>
    </w:p>
    <w:p w14:paraId="6934D747" w14:textId="77777777" w:rsidR="00933ED8" w:rsidRPr="00736866" w:rsidRDefault="005104B3" w:rsidP="00736866">
      <w:pPr>
        <w:pStyle w:val="Normale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3"/>
          <w:szCs w:val="23"/>
          <w:bdr w:val="nil"/>
        </w:rPr>
      </w:pPr>
      <w:proofErr w:type="gramStart"/>
      <w:r w:rsidRPr="00736866">
        <w:rPr>
          <w:rFonts w:ascii="Arial" w:eastAsia="Calibri" w:hAnsi="Arial" w:cs="Arial"/>
          <w:sz w:val="23"/>
          <w:szCs w:val="23"/>
          <w:bdr w:val="nil"/>
        </w:rPr>
        <w:t xml:space="preserve">La </w:t>
      </w:r>
      <w:proofErr w:type="gramEnd"/>
      <w:r w:rsidRPr="00736866">
        <w:rPr>
          <w:rFonts w:ascii="Arial" w:eastAsia="Calibri" w:hAnsi="Arial" w:cs="Arial"/>
          <w:sz w:val="23"/>
          <w:szCs w:val="23"/>
          <w:bdr w:val="nil"/>
        </w:rPr>
        <w:t xml:space="preserve">holding internazionale di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</w:rPr>
        <w:t>Royo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</w:rPr>
        <w:t xml:space="preserve"> Group è il primo operatore in Spagna e uno dei principali punti di riferim</w:t>
      </w:r>
      <w:r w:rsidR="00736866" w:rsidRPr="00736866">
        <w:rPr>
          <w:rFonts w:ascii="Arial" w:eastAsia="Calibri" w:hAnsi="Arial" w:cs="Arial"/>
          <w:sz w:val="23"/>
          <w:szCs w:val="23"/>
          <w:bdr w:val="nil"/>
        </w:rPr>
        <w:t xml:space="preserve">ento in Europa, nel settore </w:t>
      </w:r>
      <w:r w:rsidRPr="00736866">
        <w:rPr>
          <w:rFonts w:ascii="Arial" w:eastAsia="Calibri" w:hAnsi="Arial" w:cs="Arial"/>
          <w:sz w:val="23"/>
          <w:szCs w:val="23"/>
          <w:bdr w:val="nil"/>
        </w:rPr>
        <w:t>arredo bagno. Il suo obiettivo strategico è diventare il leader europeo del settore entro il 2020, grazie a un piano di crescita organico e con l'inserimento di nuovi marchi leader nei rispettivi mercati.</w:t>
      </w:r>
    </w:p>
    <w:p w14:paraId="2B33A3F3" w14:textId="77777777" w:rsidR="00736866" w:rsidRPr="00736866" w:rsidRDefault="00736866" w:rsidP="00736866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14:paraId="77255CFE" w14:textId="77777777" w:rsidR="00933ED8" w:rsidRPr="00736866" w:rsidRDefault="005104B3" w:rsidP="00933ED8">
      <w:pPr>
        <w:jc w:val="both"/>
        <w:rPr>
          <w:rFonts w:ascii="Arial" w:hAnsi="Arial" w:cs="Arial"/>
          <w:sz w:val="23"/>
          <w:szCs w:val="23"/>
        </w:rPr>
      </w:pP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Il primo passo verso questo processo di consolidamento internazionale è </w:t>
      </w:r>
      <w:proofErr w:type="gram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stata</w:t>
      </w:r>
      <w:proofErr w:type="gram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l'unione con Fiora, leader europeo nel mercato dei piatti doccia in </w:t>
      </w:r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resina</w:t>
      </w: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, posizionata nel segmento più alto del mercato grazie alla forza del suo marchio, all'innovazione e </w:t>
      </w:r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alla qualità dei suoi prodotti di</w:t>
      </w: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design, all'eccellenza </w:t>
      </w:r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produttiva</w:t>
      </w: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e al servizio di assistenza al cliente.</w:t>
      </w:r>
    </w:p>
    <w:p w14:paraId="6F6D738F" w14:textId="77777777" w:rsidR="00933ED8" w:rsidRPr="00736866" w:rsidRDefault="005104B3" w:rsidP="00933ED8">
      <w:pPr>
        <w:jc w:val="both"/>
        <w:rPr>
          <w:rFonts w:ascii="Arial" w:hAnsi="Arial" w:cs="Arial"/>
          <w:sz w:val="23"/>
          <w:szCs w:val="23"/>
        </w:rPr>
      </w:pP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L'inserimento di </w:t>
      </w:r>
      <w:r w:rsidR="00933ED8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Fiora</w:t>
      </w: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nel gruppo internazionale di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Royo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rispecchia perfettamente la strategia internazionale </w:t>
      </w:r>
      <w:proofErr w:type="gram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della </w:t>
      </w:r>
      <w:proofErr w:type="gram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holding, che punta a crescere in nuovi mercati geografici e in nuovi segmenti di mercato, a estendere la propria leadership ad altre categorie di prodotto e a continuare a migliorare il servizio offerto ai propri clienti.</w:t>
      </w:r>
    </w:p>
    <w:p w14:paraId="54F71562" w14:textId="77777777" w:rsidR="00933ED8" w:rsidRPr="00736866" w:rsidRDefault="005104B3" w:rsidP="00933ED8">
      <w:pPr>
        <w:jc w:val="both"/>
        <w:rPr>
          <w:rFonts w:ascii="Arial" w:hAnsi="Arial" w:cs="Arial"/>
          <w:sz w:val="23"/>
          <w:szCs w:val="23"/>
        </w:rPr>
      </w:pP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Le reti commerciali di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Royo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e Fiora continueranno a operare in maniera autonoma, per via del diverso </w:t>
      </w:r>
      <w:proofErr w:type="gram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posizionamento</w:t>
      </w:r>
      <w:proofErr w:type="gram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sul mercato di questi due marchi. Ci</w:t>
      </w:r>
      <w:r w:rsidR="00933ED8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ò non sarà un ostacolo all’utilizzo </w:t>
      </w: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delle sinergie comuni, per potenziare la crescita del settore vendite. Gli impianti centrali di Fiora si trovano nella località di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Nájera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, nella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Rioja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, dove si manterrà la produzione. Comprendono un totale di 26.000 m2, allestiti con le più moderne tecnologie, in uno stabilimento autosufficiente nella maggior parte dei processi produttivi.</w:t>
      </w:r>
    </w:p>
    <w:p w14:paraId="25FC21C0" w14:textId="77777777" w:rsidR="00736866" w:rsidRPr="00736866" w:rsidRDefault="005104B3" w:rsidP="00933ED8">
      <w:pPr>
        <w:jc w:val="both"/>
        <w:rPr>
          <w:rFonts w:ascii="Arial" w:hAnsi="Arial" w:cs="Arial"/>
          <w:sz w:val="23"/>
          <w:szCs w:val="23"/>
        </w:rPr>
      </w:pPr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La nuova holding internazionale di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Royo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Group nasce dall'associazione fra la famiglia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Royo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, fondatori e proprietari del Gruppo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Royo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, con oltre </w:t>
      </w:r>
      <w:proofErr w:type="gram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45</w:t>
      </w:r>
      <w:proofErr w:type="gram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anni di storia, e H.I.G. Capital, uno dei leader nel settore degli investimenti in aziende di medie dimensioni in Europa e America. Questo nuovo gruppo ha per obiettivo il consolidamento nel mercato europeo di prodotti per il bagno e l'accelerazione della sua internazionalizzazione, per diventare l'azienda indipendente leader del settore bagno in Europa.</w:t>
      </w:r>
    </w:p>
    <w:p w14:paraId="54A791B9" w14:textId="77777777" w:rsidR="00933ED8" w:rsidRPr="00736866" w:rsidRDefault="005104B3" w:rsidP="0038657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Royo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Group possiede fabbriche in Spagna, Polonia e Messico, filiali commerciali negli Stati Uniti e in India, e opera in oltre </w:t>
      </w:r>
      <w:proofErr w:type="gram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60</w:t>
      </w:r>
      <w:proofErr w:type="gram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paesi, nei 5 </w:t>
      </w:r>
      <w:proofErr w:type="spellStart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continenti.Il</w:t>
      </w:r>
      <w:proofErr w:type="spellEnd"/>
      <w:r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fatturato del gruppo, dopo l'integrazione di Fiora, supererà i 120 milioni di euro.</w:t>
      </w:r>
      <w:r w:rsidR="00736866" w:rsidRPr="00736866">
        <w:rPr>
          <w:rFonts w:ascii="Arial" w:hAnsi="Arial" w:cs="Arial"/>
          <w:sz w:val="23"/>
          <w:szCs w:val="23"/>
        </w:rPr>
        <w:t xml:space="preserve"> </w:t>
      </w:r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Tutto il team Fiora è entusiasta e fortemente impegnato per l'opportunità di integrarsi al progetto europeo di </w:t>
      </w:r>
      <w:proofErr w:type="spellStart"/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Royo</w:t>
      </w:r>
      <w:proofErr w:type="spellEnd"/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Group, mantenendo la propria identità. La complementarietà dei prodotti e dei mercati, consentirà </w:t>
      </w:r>
      <w:proofErr w:type="spellStart"/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diproseguire</w:t>
      </w:r>
      <w:proofErr w:type="spellEnd"/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 xml:space="preserve"> con la crescita registrata nell'ultimo </w:t>
      </w:r>
      <w:r w:rsidR="00386574">
        <w:rPr>
          <w:noProof/>
          <w:lang w:val="it-IT" w:eastAsia="it-IT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171E2CAC" wp14:editId="7BA48CCF">
                <wp:simplePos x="0" y="0"/>
                <wp:positionH relativeFrom="column">
                  <wp:posOffset>3850005</wp:posOffset>
                </wp:positionH>
                <wp:positionV relativeFrom="line">
                  <wp:posOffset>258445</wp:posOffset>
                </wp:positionV>
                <wp:extent cx="1752600" cy="890270"/>
                <wp:effectExtent l="0" t="0" r="0" b="0"/>
                <wp:wrapSquare wrapText="bothSides"/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890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2BAE898" w14:textId="77777777" w:rsidR="00933ED8" w:rsidRPr="005B174D" w:rsidRDefault="00933ED8" w:rsidP="00933ED8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PRESS&amp;PR</w:t>
                            </w:r>
                          </w:p>
                          <w:p w14:paraId="0779F1C1" w14:textId="77777777" w:rsidR="00933ED8" w:rsidRPr="005B174D" w:rsidRDefault="00933ED8" w:rsidP="00933ED8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tac </w:t>
                            </w:r>
                            <w:proofErr w:type="spellStart"/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comunic@zione</w:t>
                            </w:r>
                            <w:proofErr w:type="spellEnd"/>
                          </w:p>
                          <w:p w14:paraId="6C3C2731" w14:textId="77777777" w:rsidR="00933ED8" w:rsidRPr="005B174D" w:rsidRDefault="00933ED8" w:rsidP="00933ED8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Pr="005B174D">
                                <w:rPr>
                                  <w:rStyle w:val="Hyperlink2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5AB877D6" w14:textId="77777777" w:rsidR="00933ED8" w:rsidRPr="005B174D" w:rsidRDefault="00933ED8" w:rsidP="00933ED8">
                            <w:pPr>
                              <w:tabs>
                                <w:tab w:val="left" w:pos="14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hyperlink r:id="rId7" w:history="1">
                              <w:r w:rsidRPr="005B174D">
                                <w:rPr>
                                  <w:rStyle w:val="Hyperlink2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1" vertOverflow="overflow" horzOverflow="overflow" vert="horz" wrap="square" lIns="91439" tIns="91439" rIns="91439" bIns="91439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left:0;text-align:left;margin-left:303.15pt;margin-top:20.35pt;width:138pt;height:70.1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page;mso-height-relative:margin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" adj="-11796480,,5400" path="m0,0l21600,,21600,21600,,21600,,0xe" filled="f" stroked="f" strokeweight=".5pt">
                <v:stroke joinstyle="miter"/>
                <v:formulas/>
                <v:path arrowok="t" o:extrusionok="f" o:connecttype="custom" o:connectlocs="876300,445135;876300,445135;876300,445135;876300,445135" o:connectangles="0,90,180,270" textboxrect="0,0,21600,21600"/>
                <v:textbox inset="91439emu,91439emu,91439emu,91439emu">
                  <w:txbxContent>
                    <w:p w:rsidR="00933ED8" w:rsidRPr="005B174D" w:rsidRDefault="00933ED8" w:rsidP="00933ED8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>PRESS&amp;PR</w:t>
                      </w:r>
                    </w:p>
                    <w:p w:rsidR="00933ED8" w:rsidRPr="005B174D" w:rsidRDefault="00933ED8" w:rsidP="00933ED8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>tac comunic@zione</w:t>
                      </w:r>
                    </w:p>
                    <w:p w:rsidR="00933ED8" w:rsidRPr="005B174D" w:rsidRDefault="00933ED8" w:rsidP="00933ED8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</w:pPr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5B174D">
                          <w:rPr>
                            <w:rStyle w:val="Hyperlink2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:rsidR="00933ED8" w:rsidRPr="005B174D" w:rsidRDefault="00933ED8" w:rsidP="00933ED8">
                      <w:pPr>
                        <w:tabs>
                          <w:tab w:val="left" w:pos="142"/>
                        </w:tabs>
                        <w:rPr>
                          <w:sz w:val="20"/>
                          <w:szCs w:val="20"/>
                        </w:rPr>
                      </w:pPr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 xml:space="preserve">sito web: </w:t>
                      </w:r>
                      <w:hyperlink r:id="rId9" w:history="1">
                        <w:r w:rsidRPr="005B174D">
                          <w:rPr>
                            <w:rStyle w:val="Hyperlink2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36866" w:rsidRPr="00736866">
        <w:rPr>
          <w:rFonts w:ascii="Arial" w:eastAsia="Calibri" w:hAnsi="Arial" w:cs="Arial"/>
          <w:sz w:val="23"/>
          <w:szCs w:val="23"/>
          <w:bdr w:val="nil"/>
          <w:lang w:val="it-IT"/>
        </w:rPr>
        <w:t>decennio e di rafforzare l’attuale posizione competitiva.</w:t>
      </w:r>
    </w:p>
    <w:p w14:paraId="3B8E5148" w14:textId="77777777" w:rsidR="00736866" w:rsidRDefault="00736866" w:rsidP="00386574">
      <w:pPr>
        <w:tabs>
          <w:tab w:val="left" w:pos="142"/>
        </w:tabs>
        <w:spacing w:after="0" w:line="240" w:lineRule="auto"/>
        <w:ind w:right="-164"/>
        <w:jc w:val="both"/>
        <w:rPr>
          <w:rFonts w:ascii="Helvetica Neue" w:eastAsia="Helvetica" w:hAnsi="Helvetica Neue" w:cs="Helvetica"/>
          <w:b/>
          <w:sz w:val="20"/>
          <w:szCs w:val="20"/>
          <w:lang w:val="it-IT"/>
        </w:rPr>
      </w:pPr>
    </w:p>
    <w:p w14:paraId="5DD10049" w14:textId="77777777" w:rsidR="00736866" w:rsidRDefault="00736866" w:rsidP="00386574">
      <w:pPr>
        <w:tabs>
          <w:tab w:val="left" w:pos="142"/>
        </w:tabs>
        <w:spacing w:after="0" w:line="240" w:lineRule="auto"/>
        <w:ind w:right="-164"/>
        <w:jc w:val="both"/>
        <w:rPr>
          <w:rFonts w:ascii="Helvetica Neue" w:eastAsia="Helvetica" w:hAnsi="Helvetica Neue" w:cs="Helvetica"/>
          <w:b/>
          <w:bCs/>
          <w:sz w:val="20"/>
          <w:szCs w:val="20"/>
        </w:rPr>
      </w:pP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>FIORA</w:t>
      </w:r>
    </w:p>
    <w:p w14:paraId="3604D526" w14:textId="77777777" w:rsidR="00933ED8" w:rsidRPr="00736866" w:rsidRDefault="00736866" w:rsidP="00736866">
      <w:pPr>
        <w:tabs>
          <w:tab w:val="left" w:pos="142"/>
        </w:tabs>
        <w:spacing w:after="0" w:line="240" w:lineRule="auto"/>
        <w:ind w:right="-164"/>
        <w:jc w:val="both"/>
        <w:rPr>
          <w:rFonts w:ascii="Helvetica Neue" w:eastAsia="Helvetica" w:hAnsi="Helvetica Neue" w:cs="Helvetica"/>
          <w:b/>
          <w:bCs/>
          <w:sz w:val="20"/>
          <w:szCs w:val="20"/>
        </w:rPr>
      </w:pPr>
      <w:r w:rsidRPr="009316AB">
        <w:rPr>
          <w:rFonts w:ascii="Helvetica Neue" w:eastAsia="Helvetica" w:hAnsi="Helvetica Neue" w:cs="Helvetica"/>
          <w:sz w:val="20"/>
          <w:szCs w:val="20"/>
        </w:rPr>
        <w:t>fiora.e</w:t>
      </w:r>
      <w:r>
        <w:rPr>
          <w:rFonts w:ascii="Helvetica Neue" w:eastAsia="Helvetica" w:hAnsi="Helvetica Neue" w:cs="Helvetica"/>
          <w:sz w:val="20"/>
          <w:szCs w:val="20"/>
        </w:rPr>
        <w:t>s</w:t>
      </w:r>
    </w:p>
    <w:sectPr w:rsidR="00933ED8" w:rsidRPr="00736866" w:rsidSect="00933ED8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59"/>
    <w:family w:val="auto"/>
    <w:notTrueType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2B"/>
    <w:rsid w:val="00174504"/>
    <w:rsid w:val="00386574"/>
    <w:rsid w:val="005104B3"/>
    <w:rsid w:val="00736866"/>
    <w:rsid w:val="008B6DBE"/>
    <w:rsid w:val="00933ED8"/>
    <w:rsid w:val="00E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4DA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E096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33ED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Collegamentoipertestuale">
    <w:name w:val="Hyperlink"/>
    <w:rsid w:val="00933ED8"/>
    <w:rPr>
      <w:u w:val="single"/>
    </w:rPr>
  </w:style>
  <w:style w:type="character" w:customStyle="1" w:styleId="Hyperlink2">
    <w:name w:val="Hyperlink.2"/>
    <w:basedOn w:val="Caratterepredefinitoparagrafo"/>
    <w:rsid w:val="00933ED8"/>
    <w:rPr>
      <w:rFonts w:ascii="Helvetica" w:eastAsia="Helvetica" w:hAnsi="Helvetica" w:cs="Helvetica"/>
      <w:color w:val="000000"/>
      <w:sz w:val="18"/>
      <w:szCs w:val="18"/>
      <w:u w:val="single"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E096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33ED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Collegamentoipertestuale">
    <w:name w:val="Hyperlink"/>
    <w:rsid w:val="00933ED8"/>
    <w:rPr>
      <w:u w:val="single"/>
    </w:rPr>
  </w:style>
  <w:style w:type="character" w:customStyle="1" w:styleId="Hyperlink2">
    <w:name w:val="Hyperlink.2"/>
    <w:basedOn w:val="Caratterepredefinitoparagrafo"/>
    <w:rsid w:val="00933ED8"/>
    <w:rPr>
      <w:rFonts w:ascii="Helvetica" w:eastAsia="Helvetica" w:hAnsi="Helvetica" w:cs="Helvetica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press@taconline.it" TargetMode="External"/><Relationship Id="rId7" Type="http://schemas.openxmlformats.org/officeDocument/2006/relationships/hyperlink" Target="http://www.taconline.it" TargetMode="External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http://www.taconline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448</Words>
  <Characters>2556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Anguiano</dc:creator>
  <cp:keywords/>
  <dc:description/>
  <cp:lastModifiedBy>tac comunicazione</cp:lastModifiedBy>
  <cp:revision>3</cp:revision>
  <cp:lastPrinted>2018-01-22T16:42:00Z</cp:lastPrinted>
  <dcterms:created xsi:type="dcterms:W3CDTF">2018-01-25T15:57:00Z</dcterms:created>
  <dcterms:modified xsi:type="dcterms:W3CDTF">2018-02-02T10:48:00Z</dcterms:modified>
</cp:coreProperties>
</file>